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rPr>
                <w:rFonts w:ascii="Times New Roman" w:hAnsi="Times New Roman"/>
                <w:b/>
                <w:bCs/>
                <w:sz w:val="44"/>
                <w:szCs w:val="48"/>
              </w:rPr>
            </w:pPr>
            <w:r>
              <w:rPr>
                <w:rFonts w:ascii="Times New Roman" w:hAnsi="Times New Roman"/>
              </w:rPr>
              <w:br w:type="page"/>
            </w:r>
            <w:r>
              <w:rPr>
                <w:rFonts w:ascii="Times New Roman" w:hAnsi="Times New Roman"/>
              </w:rPr>
              <w:br w:type="page"/>
            </w: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会计学（专升本）专业考试计划</w:t>
            </w:r>
          </w:p>
          <w:p>
            <w:pPr>
              <w:spacing w:afterLines="200"/>
              <w:rPr>
                <w:rFonts w:ascii="Times New Roman" w:hAnsi="Times New Roman"/>
                <w:sz w:val="40"/>
                <w:szCs w:val="72"/>
              </w:rPr>
            </w:pPr>
          </w:p>
          <w:p>
            <w:pPr>
              <w:pStyle w:val="4"/>
            </w:pPr>
          </w:p>
          <w:p>
            <w:pPr>
              <w:spacing w:afterLines="200"/>
              <w:rPr>
                <w:rFonts w:ascii="Times New Roman" w:hAnsi="Times New Roman"/>
                <w:szCs w:val="36"/>
              </w:rPr>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主考学校：西南财经大学</w:t>
            </w:r>
          </w:p>
          <w:p>
            <w:pPr>
              <w:spacing w:afterLines="200"/>
              <w:rPr>
                <w:rFonts w:ascii="Times New Roman" w:hAnsi="Times New Roman"/>
                <w:szCs w:val="36"/>
              </w:rPr>
            </w:pPr>
          </w:p>
          <w:p>
            <w:pPr>
              <w:pStyle w:val="4"/>
            </w:pPr>
          </w:p>
          <w:p>
            <w:pPr>
              <w:spacing w:afterLines="200"/>
              <w:rPr>
                <w:rFonts w:ascii="Times New Roman" w:hAnsi="Times New Roman"/>
                <w:b/>
                <w:bCs/>
              </w:rPr>
            </w:pPr>
          </w:p>
          <w:p>
            <w:pPr>
              <w:spacing w:afterLines="200"/>
              <w:rPr>
                <w:rFonts w:ascii="Times New Roman" w:hAnsi="Times New Roman"/>
                <w:b/>
                <w:bCs/>
              </w:rPr>
            </w:pPr>
          </w:p>
          <w:p>
            <w:pPr>
              <w:spacing w:afterLines="200"/>
              <w:rPr>
                <w:rFonts w:ascii="Times New Roman" w:hAnsi="Times New Roman"/>
                <w:b/>
                <w:bCs/>
              </w:rPr>
            </w:pPr>
            <w:bookmarkStart w:id="0" w:name="_GoBack"/>
            <w:bookmarkEnd w:id="0"/>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2023年10月制定</w:t>
            </w:r>
          </w:p>
          <w:p>
            <w:pPr>
              <w:spacing w:line="520" w:lineRule="exact"/>
              <w:rPr>
                <w:rFonts w:ascii="Times New Roman" w:hAnsi="Times New Roman" w:eastAsia="微软雅黑"/>
                <w:b/>
                <w:bCs/>
                <w:sz w:val="30"/>
                <w:szCs w:val="30"/>
              </w:rPr>
            </w:pPr>
          </w:p>
          <w:p>
            <w:pPr>
              <w:pStyle w:val="4"/>
              <w:rPr>
                <w:rFonts w:ascii="Times New Roman" w:hAnsi="Times New Roman" w:eastAsia="微软雅黑"/>
                <w:b/>
                <w:bCs/>
                <w:sz w:val="30"/>
                <w:szCs w:val="30"/>
              </w:rPr>
            </w:pP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结合高等教育自学考试特点，高举中国特色社会主义伟大旗帜，以马克思列宁主义、毛泽东思想、邓小平理论、“三个代表”重要思想、</w:t>
            </w:r>
            <w:r>
              <w:rPr>
                <w:rFonts w:hint="eastAsia" w:ascii="仿宋_GB2312" w:hAnsi="仿宋_GB2312" w:eastAsia="仿宋_GB2312" w:cs="仿宋_GB2312"/>
                <w:color w:val="000000"/>
                <w:sz w:val="28"/>
                <w:szCs w:val="28"/>
                <w:lang w:eastAsia="zh-CN"/>
              </w:rPr>
              <w:t>科学发展观、习近平新时代</w:t>
            </w:r>
            <w:r>
              <w:rPr>
                <w:rFonts w:hint="eastAsia" w:ascii="仿宋_GB2312" w:hAnsi="仿宋_GB2312" w:eastAsia="仿宋_GB2312" w:cs="仿宋_GB2312"/>
                <w:color w:val="000000"/>
                <w:sz w:val="28"/>
                <w:szCs w:val="28"/>
              </w:rPr>
              <w:t>中国特色社会主义思想为指导，全面贯彻党的教育方针、政策，坚持社会主义办学方向，坚持立德树人的根本任务，以适应社会经济发展需求和适应学生个体发展需求为导向，培养学生在熟悉国家会计准则和“互联网</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”环境下的会计服务模式的基础上对于会计核算、财务管理、审计等基础知识的掌握，并运用所学知识分析、解决实务工作中具体问题的能力，具有良好的职业道德和服务社会精神的社会主义建设者和接班人。</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二、学历层次及规格</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高等教育自学考试会计学（专升本）专业的学历层次为本科，学科门类为管理学，专业类别为工商管理类。</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本专业考试计划规定合格课程门数</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门（其中考试课程相关的实践考核环节部分不单独计入课程总门数）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总学分</w:t>
            </w:r>
            <w:r>
              <w:rPr>
                <w:rFonts w:ascii="仿宋_GB2312" w:hAnsi="仿宋_GB2312" w:eastAsia="仿宋_GB2312" w:cs="仿宋_GB2312"/>
                <w:sz w:val="28"/>
                <w:szCs w:val="28"/>
              </w:rPr>
              <w:t>73</w:t>
            </w:r>
            <w:r>
              <w:rPr>
                <w:rFonts w:hint="eastAsia" w:ascii="仿宋_GB2312" w:hAnsi="仿宋_GB2312" w:eastAsia="仿宋_GB2312" w:cs="仿宋_GB2312"/>
                <w:color w:val="000000"/>
                <w:sz w:val="28"/>
                <w:szCs w:val="28"/>
              </w:rPr>
              <w:t>学分。</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凡按照本专业考试计划的规定，取得相应课程合格成绩且达到规定学分要求，毕业环节和实践性环节考核合格，思想品德经鉴定符合要求者，经审核通过，由四川省高等教育招生考试委员会颁发会计学（专升本）专业毕业证书，主考学校副署，国家承认学历。符合高等学历继续教育学士学位授予条件者，由主考学校按规定授予学士学位。</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三、培养目标与基本要求</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rPr>
              <w:t>一</w:t>
            </w:r>
            <w:r>
              <w:rPr>
                <w:rFonts w:hint="eastAsia" w:ascii="仿宋_GB2312" w:hAnsi="仿宋_GB2312" w:eastAsia="仿宋_GB2312" w:cs="仿宋_GB2312"/>
                <w:color w:val="000000"/>
                <w:sz w:val="28"/>
                <w:szCs w:val="28"/>
              </w:rPr>
              <w:t>）培养目标</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本专业培养理想信念坚定，德、智、体、美、劳全面发展，具有较高的科学文化素养、职业道德水准、熟悉“互联网</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环境下的会计服务模式，具有经济管理、财经法规等学科基础知识，掌握会计、财务管理等专业知识和专业技能，具备会计业务处理，会计数据分析，财务软件应用等专业技能，能够在工商企业、金融企业、中介机构、政府机构、事业单位及其他相关部门从事会计相关工作的应用型人才。</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rPr>
              <w:t>二</w:t>
            </w:r>
            <w:r>
              <w:rPr>
                <w:rFonts w:hint="eastAsia" w:ascii="仿宋_GB2312" w:hAnsi="仿宋_GB2312" w:eastAsia="仿宋_GB2312" w:cs="仿宋_GB2312"/>
                <w:color w:val="000000"/>
                <w:sz w:val="28"/>
                <w:szCs w:val="28"/>
              </w:rPr>
              <w:t>）基本要求</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rPr>
              <w:t>知识要求</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rPr>
              <w:t>）掌握经济学、管理学、经济法规等学科知识，建立良好扎实的学科基础知识背景。</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rPr>
              <w:t>）系统掌握包括基本理论、方法和技能在内的会计、财务管理、税务管理、财务数据分析等专门知识，了解本专业的理论前沿和发展动态。</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rPr>
              <w:t>）掌握并运用高等数学、外语、经济统计、会计应用软件等方面的知识。</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rPr>
              <w:t>能力要求</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rPr>
              <w:t>）具有会计核算和财务数据分析、处理、应用能力。</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rPr>
              <w:t>）具有资金管理和税收筹划能力。</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rPr>
              <w:t>）具有良好的语言文字表达能力、团队沟通协作能力、自我管理和学习能力、创新意识和创业能力。</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rPr>
              <w:t>素质要求</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rPr>
              <w:t>）具有较高的政治觉悟、良好的道德修养和社会责任感，践行社会主义核心价值观，具有深厚的爱国情感和民族自豪感。</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rPr>
              <w:t>）崇德向善，注重人文精神、法治观念和公民意识。了解必要的科学技术知识，掌握基本的科学研究方法，具有一定的自然科学基础和技术科学基础。</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rPr>
              <w:t>）具有良好的专业理论素质和职业操守，能够运用财务管理专业知识和技能做出符合职业道德规范的判断和处理，依法办事、秉公办事。</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lang w:val="en-US"/>
              </w:rPr>
              <w:t>4</w:t>
            </w:r>
            <w:r>
              <w:rPr>
                <w:rFonts w:hint="eastAsia" w:ascii="仿宋_GB2312" w:hAnsi="仿宋_GB2312" w:eastAsia="仿宋_GB2312" w:cs="仿宋_GB2312"/>
                <w:color w:val="000000"/>
                <w:sz w:val="28"/>
                <w:szCs w:val="28"/>
              </w:rPr>
              <w:t>）具有健康的身心和自我调控能力。能正确认识自然现象和自然规律，处理人与自然和谐发展关系和社会人际关系。</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adjustRightInd w:val="0"/>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
                <w:bCs/>
                <w:sz w:val="28"/>
                <w:szCs w:val="28"/>
              </w:rPr>
              <w:t>120203K</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64"/>
              <w:gridCol w:w="965"/>
              <w:gridCol w:w="849"/>
              <w:gridCol w:w="2946"/>
              <w:gridCol w:w="510"/>
              <w:gridCol w:w="840"/>
              <w:gridCol w:w="1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课程类别</w:t>
                  </w: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w:t>
                  </w:r>
                </w:p>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代码</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课程名称</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学分</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考试</w:t>
                  </w:r>
                </w:p>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方式</w:t>
                  </w:r>
                </w:p>
              </w:tc>
              <w:tc>
                <w:tcPr>
                  <w:tcW w:w="111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公</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共</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基</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础</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w:t>
                  </w: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03708</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中国近现代史纲要</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03709</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马克思主义基本原理概论</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3</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13000</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英语（专升本）</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04184</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线性代数（经管类）</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专</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业</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核</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心</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w:t>
                  </w: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13887</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经济学原理（中级）</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13683</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管理学原理（中级）</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13140</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财务会计（中级）</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8</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13752</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会计信息系统</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vMerge w:val="continue"/>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13753</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会计信息系统（实践）</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实践</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9</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08119</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管理会计</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10</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00160</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审计学</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专</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业</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拓</w:t>
                  </w:r>
                </w:p>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展</w:t>
                  </w:r>
                </w:p>
                <w:p>
                  <w:pPr>
                    <w:snapToGrid w:val="0"/>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课</w:t>
                  </w:r>
                </w:p>
              </w:tc>
              <w:tc>
                <w:tcPr>
                  <w:tcW w:w="965" w:type="dxa"/>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11</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13011</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人工智能与大数据</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p>
              </w:tc>
              <w:tc>
                <w:tcPr>
                  <w:tcW w:w="965" w:type="dxa"/>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12</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07946</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税法原理</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bCs/>
                      <w:sz w:val="24"/>
                      <w:szCs w:val="24"/>
                    </w:rPr>
                  </w:pPr>
                </w:p>
              </w:tc>
              <w:tc>
                <w:tcPr>
                  <w:tcW w:w="965"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13316</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财务分析</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3</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65"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13317</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财务分析（实践）</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实践</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14</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01790</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财经法规与会计职业道德</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15</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11715</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职业生涯发展与规划</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spacing w:val="-6"/>
                      <w:sz w:val="24"/>
                      <w:szCs w:val="24"/>
                    </w:rPr>
                    <w:t>免考英语（专升本）替换课程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16</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06385</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网络信息检索与利用</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111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65"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17</w:t>
                  </w:r>
                </w:p>
              </w:tc>
              <w:tc>
                <w:tcPr>
                  <w:tcW w:w="84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00000</w:t>
                  </w:r>
                </w:p>
              </w:tc>
              <w:tc>
                <w:tcPr>
                  <w:tcW w:w="294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毕业考核（或论文</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综合实践</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实验</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实习等）</w:t>
                  </w:r>
                </w:p>
              </w:tc>
              <w:tc>
                <w:tcPr>
                  <w:tcW w:w="51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84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111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524" w:type="dxa"/>
                  <w:gridSpan w:val="4"/>
                  <w:tcBorders>
                    <w:top w:val="single" w:color="000000" w:sz="2" w:space="0"/>
                    <w:left w:val="single" w:color="000000" w:sz="2" w:space="0"/>
                    <w:bottom w:val="single" w:color="000000" w:sz="2" w:space="0"/>
                    <w:right w:val="single" w:color="auto" w:sz="4"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总学分</w:t>
                  </w:r>
                </w:p>
              </w:tc>
              <w:tc>
                <w:tcPr>
                  <w:tcW w:w="2469" w:type="dxa"/>
                  <w:gridSpan w:val="3"/>
                  <w:tcBorders>
                    <w:top w:val="single" w:color="000000" w:sz="2" w:space="0"/>
                    <w:left w:val="single" w:color="auto" w:sz="4"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lang w:val="en-US"/>
                    </w:rPr>
                    <w:t>73</w:t>
                  </w:r>
                </w:p>
              </w:tc>
            </w:tr>
          </w:tbl>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会计信息系统</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会计信息系统基本原理，信息系统管理、基础设置、总账管理、报表管理、工资核算、固定资产管理、应收应付管理、供应链初始设置、采购管理、销售管理、库存管理与存货核算。通过本课程学习使学生熟悉会计业务流程，掌握会计核算形式和核算方法。</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人工智能与大数据</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课程主要内容是大数据概述、大数据与云计算、物联网、人工智能、大数据技术、大数据应用、大数据安全、大数据思维、大数据伦理、数据共享、数据开放、大数据交易、大数据治理。通过本课程的学习使学生具有数据意识、数据思维、数据伦理和数据能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税法原理</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课程主要内容是个人所得税法、增值税法、关税法、企业所得税法、车船税法、环境保护税法、船舶吨税法等税收实体法制度；我国现行税制下各个税种的计算、纳税申报等；税收基础、流转税法、所得税法、财产税法、资源税法、行为税法；税务登记制度、发票管理制度、涉税专业服务监管制度等，通过本课程的学习可以让学生掌握税法相关知识，提高综合应用能力、分析问题、解决问题的能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财务分析</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让学生了解财务报告分析的内容、程序和基本方法，了解四张主表的概念、性质、作用、结构，理解偿债能力、营运能力、盈利能力以及发展能力各项指标以及财务综合分析的方法，掌握四张主表的会计分析，掌握被粉饰报表识别的基本方法。通过本课程的学习，要求学生在系统了解财务会计报告编制规范的基础上，加深对财务会计报告的理解，了解企业财务分析体系，掌握财务分析的方法体系和指标体系，并能运用其对企业的筹资活动、投资活动、经营活动和分配活动的各个过程，企业盈利能力、营运能力、偿债能力和发展能力的各个方面以及企业综合能力进行全面分析，基本具备通过财务报表和财务报告评价过去和预测未来的能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财经法规与会计职业道德</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培养应用型会计人才为导向，注重学用结合、理论联系实际，强调会计法律制度、结算法律制度、税收法律制度、财政法律制度、会计职业道德等知识的掌握，致力于提高财经类专业学生的基本专业素养，提高学生对会计岗位的实际处理能力，规范会计工作行为，提高对会计业务、支付结算、税务、政府采购等财经业务的合法性判断以及法律后果的预判能力，培养良好的会计职业道德，为从事财务会计工作打下坚实的基础。</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职业生涯发展与规划</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本课程主要内容是以帕森斯的工作三原则为理论基础，包含探索自我性格、兴趣、技能、价值观、工作世界等。通过本课程学习使学生了解职业生涯规划的具体内涵，通过清晰、多视角</w:t>
            </w:r>
            <w:r>
              <w:rPr>
                <w:rFonts w:hint="eastAsia" w:ascii="仿宋_GB2312" w:hAnsi="仿宋_GB2312" w:eastAsia="仿宋_GB2312" w:cs="仿宋_GB2312"/>
                <w:color w:val="000000"/>
                <w:sz w:val="28"/>
                <w:szCs w:val="28"/>
                <w:lang w:eastAsia="zh-CN"/>
              </w:rPr>
              <w:t>地</w:t>
            </w:r>
            <w:r>
              <w:rPr>
                <w:rFonts w:hint="eastAsia" w:ascii="仿宋_GB2312" w:hAnsi="仿宋_GB2312" w:eastAsia="仿宋_GB2312" w:cs="仿宋_GB2312"/>
                <w:color w:val="000000"/>
                <w:sz w:val="28"/>
                <w:szCs w:val="28"/>
              </w:rPr>
              <w:t>认识自我世界和外部世界，初步形成职业目标，做好职业准备，提升生涯决策力和生涯行动力。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网络信息检索与利用</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文献资源及管理、文献检索、文献分析、文献利用以及学术规范五个方面。通过本课程不同类型信息资源检索方法的学习，使学生能够掌握并利用网络检索技术获取经济文献和信息，并对经济文献和信息进行研究、吸收与转化，培养学生的信息检索能力、信息运用能力，提升学生的论文写作水平。</w:t>
            </w:r>
          </w:p>
          <w:p>
            <w:pPr>
              <w:snapToGri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全国统一命题考试课程（略）</w:t>
            </w:r>
            <w:r>
              <w:rPr>
                <w:rFonts w:hint="eastAsia" w:ascii="仿宋_GB2312" w:hAnsi="仿宋_GB2312" w:eastAsia="仿宋_GB2312" w:cs="仿宋_GB2312"/>
                <w:color w:val="000000"/>
                <w:sz w:val="28"/>
                <w:szCs w:val="28"/>
                <w:lang w:eastAsia="zh-CN"/>
              </w:rPr>
              <w:t>。</w:t>
            </w:r>
          </w:p>
          <w:p>
            <w:pPr>
              <w:snapToGri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实践性学习环节课程（按主考学校要求执行）</w:t>
            </w:r>
            <w:r>
              <w:rPr>
                <w:rFonts w:hint="eastAsia" w:ascii="仿宋_GB2312" w:hAnsi="仿宋_GB2312" w:eastAsia="仿宋_GB2312" w:cs="仿宋_GB2312"/>
                <w:color w:val="000000"/>
                <w:sz w:val="28"/>
                <w:szCs w:val="28"/>
                <w:lang w:eastAsia="zh-CN"/>
              </w:rPr>
              <w:t>。</w:t>
            </w:r>
          </w:p>
          <w:p>
            <w:pPr>
              <w:adjustRightInd w:val="0"/>
              <w:snapToGrid w:val="0"/>
              <w:spacing w:line="360" w:lineRule="auto"/>
              <w:ind w:firstLine="562"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六、实践性环节学习考核要求</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含实践的课程及实践所占学分：会计信息系统</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学分、财务分析</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学分。凡理论考试与实践环节考核两部分相结合的课程为一门课程，考生必须取得两个部分的合格成绩方能获得该门课程的学分。</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毕业设计或毕业论文。</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七、其他必要的说明</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财务会计类专业专科毕业生均可直接报考本专业。</w:t>
            </w:r>
          </w:p>
          <w:p>
            <w:pPr>
              <w:snapToGrid w:val="0"/>
              <w:spacing w:line="360" w:lineRule="auto"/>
              <w:ind w:firstLine="560" w:firstLineChars="200"/>
              <w:jc w:val="left"/>
              <w:rPr>
                <w:rFonts w:ascii="仿宋" w:hAnsi="仿宋" w:eastAsia="仿宋" w:cs="仿宋"/>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其他专业专科毕业生也可报考本专业，但需要具有基础会计学、财务管理学等本专业所需的基础知识。</w:t>
            </w:r>
          </w:p>
          <w:p/>
          <w:p>
            <w:pPr>
              <w:pStyle w:val="4"/>
              <w:rPr>
                <w:rFonts w:ascii="Times New Roman" w:hAnsi="Times New Roman" w:eastAsia="微软雅黑"/>
                <w:b/>
                <w:bCs/>
                <w:sz w:val="30"/>
                <w:szCs w:val="30"/>
              </w:rPr>
            </w:pPr>
          </w:p>
        </w:tc>
      </w:tr>
    </w:tbl>
    <w:p>
      <w:pPr>
        <w:pStyle w:val="2"/>
        <w:bidi w:val="0"/>
        <w:rPr>
          <w:rFonts w:hint="eastAsia" w:ascii="Times New Roman" w:hAnsi="Times New Roman"/>
        </w:rPr>
      </w:pPr>
      <w:r>
        <w:rPr>
          <w:rFonts w:hint="eastAsia" w:ascii="Times New Roman" w:hAnsi="Times New Roman"/>
        </w:rPr>
        <w:t>会计学（专升本）专业课程设置与学分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jc w:val="center"/>
        <w:textAlignment w:val="auto"/>
        <w:rPr>
          <w:rFonts w:hint="eastAsia" w:ascii="Times New Roman" w:hAnsi="Times New Roman" w:eastAsia="黑体" w:cs="黑体"/>
          <w:color w:val="auto"/>
          <w:kern w:val="0"/>
          <w:sz w:val="24"/>
          <w:szCs w:val="22"/>
        </w:rPr>
      </w:pPr>
      <w:r>
        <w:rPr>
          <w:rFonts w:hint="eastAsia" w:ascii="Times New Roman" w:hAnsi="Times New Roman" w:eastAsia="黑体" w:cs="黑体"/>
          <w:color w:val="auto"/>
          <w:kern w:val="0"/>
          <w:sz w:val="24"/>
          <w:szCs w:val="22"/>
        </w:rPr>
        <w:t xml:space="preserve"> </w:t>
      </w:r>
      <w:r>
        <w:rPr>
          <w:rFonts w:hint="eastAsia" w:ascii="Times New Roman" w:hAnsi="Times New Roman" w:eastAsia="黑体" w:cs="黑体"/>
          <w:b w:val="0"/>
          <w:bCs w:val="0"/>
          <w:color w:val="auto"/>
          <w:kern w:val="0"/>
          <w:sz w:val="24"/>
          <w:szCs w:val="22"/>
        </w:rPr>
        <w:t>学历层次：专升本                                专业代码：</w:t>
      </w:r>
      <w:r>
        <w:rPr>
          <w:rFonts w:hint="eastAsia" w:ascii="Times New Roman" w:hAnsi="Times New Roman" w:eastAsia="黑体" w:cs="黑体"/>
          <w:b w:val="0"/>
          <w:bCs w:val="0"/>
          <w:color w:val="auto"/>
          <w:sz w:val="24"/>
          <w:szCs w:val="28"/>
        </w:rPr>
        <w:t>120203K</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064"/>
        <w:gridCol w:w="4893"/>
        <w:gridCol w:w="874"/>
        <w:gridCol w:w="17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59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00160</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审计学</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04184</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线性代数（经管类）</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08119</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管理会计</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13000</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13140</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财务会计（中级）</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13683</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管理学原理（中级）</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13887</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经济学原理（中级）</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01790</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财经法规与会计职业道德</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07946</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税法原理</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13316</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财务分析</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13317</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财务分析（实践）</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13011</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zh-CN" w:eastAsia="zh-CN" w:bidi="ar"/>
              </w:rPr>
            </w:pPr>
            <w:r>
              <w:rPr>
                <w:rFonts w:hint="eastAsia" w:ascii="Times New Roman" w:hAnsi="Times New Roman" w:eastAsia="宋体" w:cs="宋体"/>
                <w:i w:val="0"/>
                <w:iCs w:val="0"/>
                <w:color w:val="auto"/>
                <w:kern w:val="0"/>
                <w:sz w:val="18"/>
                <w:szCs w:val="18"/>
                <w:u w:val="none"/>
                <w:lang w:val="en-US" w:eastAsia="zh-CN" w:bidi="ar"/>
              </w:rPr>
              <w:t>人工智能与大数据</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13752</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会计信息系统</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13753</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会计信息系统（实践）</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11715</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职业生涯发展与规划</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9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06385</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网络信息检索与利用</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9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17</w:t>
            </w:r>
          </w:p>
        </w:tc>
        <w:tc>
          <w:tcPr>
            <w:tcW w:w="5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598"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9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14" w:type="pct"/>
            <w:gridSpan w:val="2"/>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合   计</w:t>
            </w:r>
          </w:p>
        </w:tc>
        <w:tc>
          <w:tcPr>
            <w:tcW w:w="3985" w:type="pct"/>
            <w:gridSpan w:val="3"/>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8</w:t>
            </w:r>
            <w:r>
              <w:rPr>
                <w:rFonts w:hint="eastAsia" w:ascii="Times New Roman" w:hAnsi="Times New Roman" w:eastAsia="宋体" w:cs="宋体"/>
                <w:color w:val="auto"/>
                <w:kern w:val="0"/>
                <w:sz w:val="18"/>
                <w:szCs w:val="18"/>
              </w:rPr>
              <w:t>2学分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700" w:lineRule="exact"/>
        <w:rPr>
          <w:rFonts w:ascii="Times New Roman" w:hAnsi="Times New Roman" w:cs="宋体"/>
          <w:b/>
          <w:bCs/>
          <w:color w:val="auto"/>
          <w:kern w:val="0"/>
          <w:sz w:val="36"/>
          <w:szCs w:val="36"/>
        </w:rPr>
        <w:sectPr>
          <w:pgSz w:w="11906" w:h="16157"/>
          <w:pgMar w:top="1247" w:right="1287" w:bottom="1134" w:left="1417"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会计学（专升本）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675"/>
        <w:gridCol w:w="2145"/>
        <w:gridCol w:w="564"/>
        <w:gridCol w:w="596"/>
        <w:gridCol w:w="719"/>
        <w:gridCol w:w="2093"/>
        <w:gridCol w:w="569"/>
        <w:gridCol w:w="6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会计</w:t>
            </w:r>
            <w:r>
              <w:rPr>
                <w:rFonts w:hint="eastAsia" w:eastAsia="黑体" w:cs="黑体"/>
                <w:color w:val="auto"/>
                <w:kern w:val="0"/>
                <w:sz w:val="18"/>
                <w:szCs w:val="18"/>
                <w:lang w:val="en-US" w:eastAsia="zh-CN"/>
              </w:rPr>
              <w:t>（</w:t>
            </w:r>
            <w:r>
              <w:rPr>
                <w:rFonts w:hint="eastAsia" w:ascii="Times New Roman" w:hAnsi="Times New Roman" w:eastAsia="黑体" w:cs="黑体"/>
                <w:color w:val="auto"/>
                <w:kern w:val="0"/>
                <w:sz w:val="18"/>
                <w:szCs w:val="18"/>
                <w:lang w:val="en-US" w:eastAsia="zh-CN"/>
              </w:rPr>
              <w:t>专升本</w:t>
            </w:r>
            <w:r>
              <w:rPr>
                <w:rFonts w:hint="eastAsia" w:eastAsia="黑体" w:cs="黑体"/>
                <w:color w:val="auto"/>
                <w:kern w:val="0"/>
                <w:sz w:val="18"/>
                <w:szCs w:val="18"/>
                <w:lang w:val="en-US" w:eastAsia="zh-CN"/>
              </w:rPr>
              <w:t>）</w:t>
            </w:r>
            <w:r>
              <w:rPr>
                <w:rFonts w:hint="eastAsia" w:ascii="Times New Roman" w:hAnsi="Times New Roman" w:eastAsia="黑体" w:cs="黑体"/>
                <w:color w:val="auto"/>
                <w:kern w:val="0"/>
                <w:sz w:val="18"/>
                <w:szCs w:val="18"/>
                <w:lang w:val="en-US" w:eastAsia="zh-CN"/>
              </w:rPr>
              <w:t xml:space="preserve"> ，</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020204</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会计学</w:t>
            </w:r>
            <w:r>
              <w:rPr>
                <w:rFonts w:hint="eastAsia" w:eastAsia="黑体" w:cs="黑体"/>
                <w:color w:val="auto"/>
                <w:kern w:val="0"/>
                <w:sz w:val="18"/>
                <w:szCs w:val="18"/>
                <w:lang w:val="en-US" w:eastAsia="zh-CN"/>
              </w:rPr>
              <w:t>（</w:t>
            </w:r>
            <w:r>
              <w:rPr>
                <w:rFonts w:hint="eastAsia" w:ascii="Times New Roman" w:hAnsi="Times New Roman" w:eastAsia="黑体" w:cs="黑体"/>
                <w:color w:val="auto"/>
                <w:kern w:val="0"/>
                <w:sz w:val="18"/>
                <w:szCs w:val="18"/>
                <w:lang w:val="en-US" w:eastAsia="zh-CN"/>
              </w:rPr>
              <w:t>专升本</w:t>
            </w:r>
            <w:r>
              <w:rPr>
                <w:rFonts w:hint="eastAsia" w:eastAsia="黑体" w:cs="黑体"/>
                <w:color w:val="auto"/>
                <w:kern w:val="0"/>
                <w:sz w:val="18"/>
                <w:szCs w:val="18"/>
                <w:lang w:val="en-US" w:eastAsia="zh-CN"/>
              </w:rPr>
              <w:t>）</w:t>
            </w:r>
            <w:r>
              <w:rPr>
                <w:rFonts w:hint="eastAsia" w:ascii="Times New Roman" w:hAnsi="Times New Roman" w:eastAsia="黑体" w:cs="黑体"/>
                <w:color w:val="auto"/>
                <w:kern w:val="0"/>
                <w:sz w:val="18"/>
                <w:szCs w:val="18"/>
                <w:lang w:val="en-US" w:eastAsia="zh-CN"/>
              </w:rPr>
              <w:t xml:space="preserve"> ，</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120203</w:t>
            </w:r>
            <w:r>
              <w:rPr>
                <w:rFonts w:hint="default" w:ascii="Times New Roman" w:hAnsi="Times New Roman" w:eastAsia="黑体" w:cs="Times New Roman"/>
                <w:color w:val="auto"/>
                <w:kern w:val="0"/>
                <w:sz w:val="18"/>
                <w:szCs w:val="18"/>
                <w:lang w:val="en-US" w:eastAsia="zh-CN"/>
              </w:rPr>
              <w:t>K</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03708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中国近现代史纲要</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03708</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中国近现代史纲要</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00051</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管理系统中计算机应用</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03709</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马克思主义基本原理概论</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00015</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英语（二）</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3</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13000</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英语（专升本）</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7</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00058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市场营销学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13683</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管理学原理（中级）</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00149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国际贸易理论与实务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13887</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经济学原理（中级）</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00150</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金融理论与实务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01790</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财经法规与会计职业道德</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00159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高级财务会计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7</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13140</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财务会计（中级）</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00160</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审计学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8</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00160</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审计学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00161</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财务报表分析（一）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9</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08119</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管理会计</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04184</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线性代数（经管类）</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10</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04184</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线性代数（经管类）</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05327</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税务会计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11</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07946</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税法原理</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7</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04183</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概率论与数理统计（经管类）</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13011</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人工智能与大数据</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6</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w:t>
            </w: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rPr>
              <w:t>07246</w:t>
            </w: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rPr>
              <w:t>会计电算化基础</w:t>
            </w:r>
          </w:p>
        </w:tc>
        <w:tc>
          <w:tcPr>
            <w:tcW w:w="32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13316</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财务分析</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2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2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13317</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财务分析（实践）</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00158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资产评估</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13752</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会计信息系统</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rPr>
              <w:t>00162</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rPr>
              <w:t>会计制度设计</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5</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13753</w:t>
            </w:r>
          </w:p>
        </w:tc>
        <w:tc>
          <w:tcPr>
            <w:tcW w:w="122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会计信息系统（实践）</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24"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sectPr>
          <w:pgSz w:w="11906" w:h="16838"/>
          <w:pgMar w:top="1440" w:right="1800" w:bottom="1440" w:left="1800"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会计学（专升本）专业教材明细表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960"/>
        <w:gridCol w:w="900"/>
        <w:gridCol w:w="870"/>
        <w:gridCol w:w="2250"/>
        <w:gridCol w:w="3375"/>
        <w:gridCol w:w="1335"/>
        <w:gridCol w:w="1892"/>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审计学</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王淑芳</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04184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线性代数（经管类）</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线性代数（经管类）</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刘吉佑、刘志学</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08119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管理会计</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管理会计（一）</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余恕莲</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财务会计（中级）</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财务会计（中级）</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胡燕</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管理学原理（中级）</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管理学原理（中级）</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白瑷峥</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经济学原理（中级）</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经济学原理（中级）</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于春海</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01790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财经法规与会计职业道德</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财经法规与会计职业道德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王红云等</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2022年版第三版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07946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税法原理</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税法原理与运用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董春珑</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立信会计出版社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财务分析</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财务报表分析</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池国华</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2021年版第四版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财务分析（实践）</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人工智能与大数据</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大数据导论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林子雨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会计信息系统</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会计信息系统实验教程</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王新玲、汪刚</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会计信息系统（实践）</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职业生涯发展与规划</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大学生职业生涯发展与规划</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钟谷兰</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120203K</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06385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网络信息检索与利用</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信息检索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黄如花</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武汉大学出版社</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2019年第三版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01AD30A8"/>
    <w:rsid w:val="2562569A"/>
    <w:rsid w:val="2650258B"/>
    <w:rsid w:val="345B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2023-10-29T05:54:00Z</dcterms:created>
  <dc:creator>Administrator</dc:creator>
  <cp:lastModifiedBy>淡定</cp:lastModifiedBy>
  <dcterms:modified xsi:type="dcterms:W3CDTF">2023-10-29T07:09:36Z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F27FAE6AFEB24FC790E035A0063FC9D7_12</vt:lpwstr>
  </property>
</Properties>
</file>