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jc w:val="both"/>
              <w:rPr>
                <w:rFonts w:ascii="Times New Roman" w:hAnsi="Times New Roman"/>
                <w:b/>
                <w:bCs/>
                <w:sz w:val="44"/>
                <w:szCs w:val="48"/>
              </w:rPr>
            </w:pPr>
            <w:r>
              <w:rPr>
                <w:rFonts w:ascii="Times New Roman" w:hAnsi="Times New Roman"/>
                <w:b/>
                <w:bCs/>
                <w:sz w:val="44"/>
                <w:szCs w:val="48"/>
              </w:rPr>
              <w:br w:type="page"/>
            </w: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旅游管理（专科）专业考试计划</w:t>
            </w:r>
          </w:p>
          <w:p>
            <w:pPr>
              <w:spacing w:afterLines="200"/>
              <w:jc w:val="center"/>
              <w:rPr>
                <w:rFonts w:ascii="Times New Roman" w:hAnsi="Times New Roman"/>
                <w:szCs w:val="36"/>
              </w:rPr>
            </w:pPr>
          </w:p>
          <w:p>
            <w:pPr>
              <w:spacing w:afterLines="200"/>
              <w:jc w:val="center"/>
              <w:rPr>
                <w:rFonts w:ascii="Times New Roman" w:hAnsi="Times New Roman"/>
                <w:szCs w:val="36"/>
              </w:rPr>
            </w:pPr>
          </w:p>
          <w:p>
            <w:pPr>
              <w:spacing w:afterLines="200"/>
              <w:jc w:val="center"/>
              <w:rPr>
                <w:rFonts w:ascii="Times New Roman" w:hAnsi="Times New Roman"/>
                <w:szCs w:val="36"/>
              </w:rPr>
            </w:pPr>
          </w:p>
          <w:p>
            <w:pPr>
              <w:spacing w:afterLines="200"/>
              <w:jc w:val="center"/>
              <w:rPr>
                <w:rFonts w:ascii="Times New Roman" w:hAnsi="Times New Roman"/>
                <w:szCs w:val="36"/>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四川旅游学院</w:t>
            </w:r>
          </w:p>
          <w:p>
            <w:pPr>
              <w:spacing w:afterLines="200"/>
              <w:rPr>
                <w:rFonts w:ascii="Times New Roman" w:hAnsi="Times New Roman"/>
                <w:b/>
                <w:bCs/>
              </w:rPr>
            </w:pPr>
          </w:p>
          <w:p>
            <w:pPr>
              <w:pStyle w:val="4"/>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w:t>
            </w:r>
            <w:r>
              <w:rPr>
                <w:rFonts w:hint="eastAsia" w:eastAsia="黑体" w:cs="方正仿宋_GBK"/>
                <w:kern w:val="0"/>
                <w:szCs w:val="22"/>
                <w:lang w:val="en-US"/>
              </w:rPr>
              <w:t>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autoSpaceDE/>
              <w:autoSpaceDN/>
              <w:adjustRightInd w:val="0"/>
              <w:snapToGrid w:val="0"/>
              <w:spacing w:line="360" w:lineRule="auto"/>
              <w:ind w:firstLine="562" w:firstLineChars="200"/>
              <w:jc w:val="center"/>
              <w:rPr>
                <w:rFonts w:hint="eastAsia" w:ascii="仿宋_GB2312" w:hAnsi="仿宋_GB2312" w:eastAsia="仿宋_GB2312" w:cs="仿宋_GB2312"/>
                <w:b/>
                <w:color w:val="000000"/>
                <w:sz w:val="28"/>
                <w:szCs w:val="28"/>
              </w:rPr>
            </w:pP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以习近平新时代中国特色社会主义思想为指导，落实立德树人根本任务，细化落实《高等教育自学考试专业设置实施细则》要求，为适应我国社会主义市场经济与区域社会发展的需要，造就和选拔具有扎实理论知识基础和较高管理与服务能力的旅游行业应用型人才而设置的，在培养考生基本知识、基本理论和基本能力的基础上，结合高等教育自学考试的特点，着重考核考生对专业基础知识的掌握，以及运用所学知识分析、解决旅游领域实际问题的能力</w:t>
            </w:r>
            <w:r>
              <w:rPr>
                <w:rFonts w:hint="eastAsia" w:ascii="仿宋_GB2312" w:hAnsi="仿宋_GB2312" w:eastAsia="仿宋_GB2312" w:cs="仿宋_GB2312"/>
                <w:color w:val="000000"/>
                <w:sz w:val="28"/>
                <w:szCs w:val="28"/>
              </w:rPr>
              <w:t>。</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高等教育自学考试旅游管理（专科）专业的学历层次为专科，专业大类为旅游大类，专业类别为旅游类。</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本专业考试计划规定考试课程门数为</w:t>
            </w:r>
            <w:r>
              <w:rPr>
                <w:rFonts w:ascii="仿宋_GB2312" w:hAnsi="仿宋_GB2312" w:eastAsia="仿宋_GB2312" w:cs="仿宋_GB2312"/>
                <w:color w:val="000000"/>
                <w:sz w:val="28"/>
                <w:szCs w:val="28"/>
                <w:lang w:val="en-US"/>
              </w:rPr>
              <w:t>15</w:t>
            </w:r>
            <w:r>
              <w:rPr>
                <w:rFonts w:hint="eastAsia" w:ascii="仿宋_GB2312" w:hAnsi="仿宋_GB2312" w:eastAsia="仿宋_GB2312" w:cs="仿宋_GB2312"/>
                <w:color w:val="000000"/>
                <w:sz w:val="28"/>
                <w:szCs w:val="28"/>
                <w:lang w:val="en-US"/>
              </w:rPr>
              <w:t>门，总学分</w:t>
            </w:r>
            <w:r>
              <w:rPr>
                <w:rFonts w:ascii="仿宋_GB2312" w:hAnsi="仿宋_GB2312" w:eastAsia="仿宋_GB2312" w:cs="仿宋_GB2312"/>
                <w:color w:val="000000"/>
                <w:sz w:val="28"/>
                <w:szCs w:val="28"/>
                <w:lang w:val="en-US"/>
              </w:rPr>
              <w:t>70</w:t>
            </w:r>
            <w:r>
              <w:rPr>
                <w:rFonts w:hint="eastAsia" w:ascii="仿宋_GB2312" w:hAnsi="仿宋_GB2312" w:eastAsia="仿宋_GB2312" w:cs="仿宋_GB2312"/>
                <w:color w:val="000000"/>
                <w:sz w:val="28"/>
                <w:szCs w:val="28"/>
                <w:lang w:val="en-US"/>
              </w:rPr>
              <w:t>分。课程按百分制计分，</w:t>
            </w:r>
            <w:r>
              <w:rPr>
                <w:rFonts w:ascii="仿宋_GB2312" w:hAnsi="仿宋_GB2312" w:eastAsia="仿宋_GB2312" w:cs="仿宋_GB2312"/>
                <w:color w:val="000000"/>
                <w:sz w:val="28"/>
                <w:szCs w:val="28"/>
                <w:lang w:val="en-US"/>
              </w:rPr>
              <w:t>60</w:t>
            </w:r>
            <w:r>
              <w:rPr>
                <w:rFonts w:hint="eastAsia" w:ascii="仿宋_GB2312" w:hAnsi="仿宋_GB2312" w:eastAsia="仿宋_GB2312" w:cs="仿宋_GB2312"/>
                <w:color w:val="000000"/>
                <w:sz w:val="28"/>
                <w:szCs w:val="28"/>
                <w:lang w:val="en-US"/>
              </w:rPr>
              <w:t>分为合格，每门课程考试成绩合格者，可获得本课程的相应学分，考试课程相关的实践考核环节部分不单独计入课程总门数。</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取得本专业所规定的全部课程考试合格成绩和规定学分，实践环节考核合格，思想品德经鉴定符合要求者，经审核通过，由四川省高等教育招生考试委员会颁发自学考试旅游管理专科毕业证书，主考学校副署，国家承认学历。</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2"/>
                <w:sz w:val="28"/>
                <w:szCs w:val="28"/>
                <w:lang w:val="en-US"/>
              </w:rPr>
              <w:t>培养目标：本专业培养理想信念坚定，德、智、体、美、劳全面发展，具有一定的科学文化水平，良好的人文素养、职业道德和创新意识，精益求精的工匠精神，较强的职业能力和可持续发展的能力，掌握现代旅游管理与服务基本知识和基本技能，具备良好的</w:t>
            </w:r>
            <w:r>
              <w:rPr>
                <w:rFonts w:hint="eastAsia" w:ascii="仿宋_GB2312" w:hAnsi="仿宋_GB2312" w:eastAsia="仿宋_GB2312" w:cs="仿宋_GB2312"/>
                <w:color w:val="000000"/>
                <w:sz w:val="28"/>
                <w:szCs w:val="28"/>
                <w:lang w:val="en-US"/>
              </w:rPr>
              <w:t>旅游服务意识、旅游企业管理和沟通协调能力，能够在旅游及相关企事业单位从事旅游策划、经营、管理、服务等方面工作的专业技术及管理人才。</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基本要求：本专业要求初步掌握旅游管理的基本理论和基本知识，获得旅游企业管理与服务相关实践技能的基本训练，具备旅游</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企业运营与服务的基本能力。主要包括：</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具有优良的道德品质，拥有良好的专业素养和团队协作精神，具备职业认同感、职业责任感和职业素养；</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初步掌握旅游管理的基本理论和基本知识；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具有将所学专业知识应用于实践的基本技能，具备旅游产品策划、旅游市场营销和旅游企业管理与服务能力；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初步掌握一门外语并具备一定的听说能力，具备较强的语言表达能力和沟通交流能力，了解导游带团流程，具备旅游讲解能力；</w:t>
            </w:r>
          </w:p>
          <w:p>
            <w:pPr>
              <w:autoSpaceDE/>
              <w:autoSpaceDN/>
              <w:adjustRightInd w:val="0"/>
              <w:snapToGrid w:val="0"/>
              <w:spacing w:line="360" w:lineRule="auto"/>
              <w:ind w:firstLine="560" w:firstLineChars="200"/>
              <w:jc w:val="left"/>
              <w:rPr>
                <w:rFonts w:hint="eastAsia"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熟悉国家旅游产业的基本政策和法规；</w:t>
            </w:r>
          </w:p>
          <w:p>
            <w:pPr>
              <w:autoSpaceDE/>
              <w:autoSpaceDN/>
              <w:adjustRightInd w:val="0"/>
              <w:snapToGrid w:val="0"/>
              <w:spacing w:line="360" w:lineRule="auto"/>
              <w:ind w:firstLine="560" w:firstLineChars="200"/>
              <w:jc w:val="left"/>
              <w:rPr>
                <w:rFonts w:hint="eastAsia"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具备对新知识、新技能的学习能力和一定的创新意识与创业能力。</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lang w:val="en-US"/>
              </w:rPr>
              <w:t>540101</w:t>
            </w:r>
          </w:p>
          <w:tbl>
            <w:tblPr>
              <w:tblStyle w:val="5"/>
              <w:tblpPr w:leftFromText="180" w:rightFromText="180" w:vertAnchor="text" w:horzAnchor="page" w:tblpX="398" w:tblpY="1182"/>
              <w:tblOverlap w:val="neve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85"/>
              <w:gridCol w:w="781"/>
              <w:gridCol w:w="1020"/>
              <w:gridCol w:w="3149"/>
              <w:gridCol w:w="647"/>
              <w:gridCol w:w="827"/>
              <w:gridCol w:w="13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5" w:hRule="atLeast"/>
                <w:jc w:val="center"/>
              </w:trPr>
              <w:tc>
                <w:tcPr>
                  <w:tcW w:w="785" w:type="dxa"/>
                  <w:tcBorders>
                    <w:tl2br w:val="nil"/>
                    <w:tr2bl w:val="nil"/>
                  </w:tcBorders>
                  <w:vAlign w:val="center"/>
                </w:tcPr>
                <w:p>
                  <w:pPr>
                    <w:adjustRightInd w:val="0"/>
                    <w:snapToGrid w:val="0"/>
                    <w:rPr>
                      <w:rFonts w:ascii="仿宋_GB2312" w:hAnsi="仿宋_GB2312" w:eastAsia="仿宋_GB2312" w:cs="仿宋_GB2312"/>
                      <w:bCs/>
                      <w:sz w:val="24"/>
                      <w:szCs w:val="24"/>
                    </w:rPr>
                  </w:pPr>
                  <w:bookmarkStart w:id="0" w:name="_GoBack"/>
                  <w:r>
                    <w:rPr>
                      <w:rFonts w:hint="eastAsia" w:ascii="仿宋_GB2312" w:hAnsi="仿宋_GB2312" w:eastAsia="仿宋_GB2312" w:cs="仿宋_GB2312"/>
                      <w:bCs/>
                      <w:sz w:val="24"/>
                      <w:szCs w:val="24"/>
                    </w:rPr>
                    <w:t>课程类别</w:t>
                  </w:r>
                </w:p>
              </w:tc>
              <w:tc>
                <w:tcPr>
                  <w:tcW w:w="781" w:type="dxa"/>
                  <w:tcBorders>
                    <w:tl2br w:val="nil"/>
                    <w:tr2bl w:val="nil"/>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3149" w:type="dxa"/>
                  <w:tcBorders>
                    <w:tl2br w:val="nil"/>
                    <w:tr2bl w:val="nil"/>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647" w:type="dxa"/>
                  <w:tcBorders>
                    <w:tl2br w:val="nil"/>
                    <w:tr2bl w:val="nil"/>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827" w:type="dxa"/>
                  <w:tcBorders>
                    <w:tl2br w:val="nil"/>
                    <w:tr2bl w:val="nil"/>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1308" w:type="dxa"/>
                  <w:tcBorders>
                    <w:tl2br w:val="nil"/>
                    <w:tr2bl w:val="nil"/>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restart"/>
                  <w:tcBorders>
                    <w:tl2br w:val="nil"/>
                    <w:tr2bl w:val="nil"/>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781"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03706</w:t>
                  </w:r>
                </w:p>
              </w:tc>
              <w:tc>
                <w:tcPr>
                  <w:tcW w:w="3149"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思想道德修养与法律基础</w:t>
                  </w:r>
                </w:p>
              </w:tc>
              <w:tc>
                <w:tcPr>
                  <w:tcW w:w="647"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27"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5"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12656</w:t>
                  </w:r>
                </w:p>
              </w:tc>
              <w:tc>
                <w:tcPr>
                  <w:tcW w:w="3149"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毛泽东思想和中国特色社会主义理论体系概论</w:t>
                  </w:r>
                </w:p>
              </w:tc>
              <w:tc>
                <w:tcPr>
                  <w:tcW w:w="647"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27"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13124</w:t>
                  </w:r>
                </w:p>
              </w:tc>
              <w:tc>
                <w:tcPr>
                  <w:tcW w:w="3149"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英语（专）</w:t>
                  </w:r>
                </w:p>
              </w:tc>
              <w:tc>
                <w:tcPr>
                  <w:tcW w:w="647"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827"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vMerge w:val="restart"/>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00018</w:t>
                  </w:r>
                </w:p>
              </w:tc>
              <w:tc>
                <w:tcPr>
                  <w:tcW w:w="3149"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计算机应用基础</w:t>
                  </w:r>
                </w:p>
              </w:tc>
              <w:tc>
                <w:tcPr>
                  <w:tcW w:w="647"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27"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vMerge w:val="continue"/>
                  <w:tcBorders>
                    <w:tl2br w:val="nil"/>
                    <w:tr2bl w:val="nil"/>
                  </w:tcBorders>
                  <w:vAlign w:val="center"/>
                </w:tcPr>
                <w:p>
                  <w:pPr>
                    <w:adjustRightInd w:val="0"/>
                    <w:snapToGrid w:val="0"/>
                    <w:rPr>
                      <w:rFonts w:ascii="仿宋_GB2312" w:hAnsi="仿宋_GB2312" w:eastAsia="仿宋_GB2312" w:cs="仿宋_GB2312"/>
                      <w:bCs/>
                      <w:sz w:val="24"/>
                      <w:szCs w:val="24"/>
                      <w:lang w:val="en-US"/>
                    </w:rPr>
                  </w:pP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00019</w:t>
                  </w:r>
                </w:p>
              </w:tc>
              <w:tc>
                <w:tcPr>
                  <w:tcW w:w="3149"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计算机应用基础（实践）</w:t>
                  </w:r>
                </w:p>
              </w:tc>
              <w:tc>
                <w:tcPr>
                  <w:tcW w:w="647"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27"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13125</w:t>
                  </w:r>
                </w:p>
              </w:tc>
              <w:tc>
                <w:tcPr>
                  <w:tcW w:w="3149" w:type="dxa"/>
                  <w:tcBorders>
                    <w:tl2br w:val="nil"/>
                    <w:tr2bl w:val="nil"/>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高等数学（经管类）</w:t>
                  </w:r>
                </w:p>
              </w:tc>
              <w:tc>
                <w:tcPr>
                  <w:tcW w:w="647"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27"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restart"/>
                  <w:tcBorders>
                    <w:tl2br w:val="nil"/>
                    <w:tr2bl w:val="nil"/>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781"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13886</w:t>
                  </w:r>
                </w:p>
              </w:tc>
              <w:tc>
                <w:tcPr>
                  <w:tcW w:w="3149"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经济学原理（初级）</w:t>
                  </w:r>
                </w:p>
              </w:tc>
              <w:tc>
                <w:tcPr>
                  <w:tcW w:w="647"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27"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13126</w:t>
                  </w:r>
                </w:p>
              </w:tc>
              <w:tc>
                <w:tcPr>
                  <w:tcW w:w="3149"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管理学原理（初级）</w:t>
                  </w:r>
                </w:p>
              </w:tc>
              <w:tc>
                <w:tcPr>
                  <w:tcW w:w="647"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5</w:t>
                  </w:r>
                </w:p>
              </w:tc>
              <w:tc>
                <w:tcPr>
                  <w:tcW w:w="827"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06011</w:t>
                  </w:r>
                </w:p>
              </w:tc>
              <w:tc>
                <w:tcPr>
                  <w:tcW w:w="3149"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旅游学概论</w:t>
                  </w:r>
                </w:p>
              </w:tc>
              <w:tc>
                <w:tcPr>
                  <w:tcW w:w="647"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4</w:t>
                  </w:r>
                </w:p>
              </w:tc>
              <w:tc>
                <w:tcPr>
                  <w:tcW w:w="827"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00187</w:t>
                  </w:r>
                </w:p>
              </w:tc>
              <w:tc>
                <w:tcPr>
                  <w:tcW w:w="3149"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旅游经济学</w:t>
                  </w:r>
                </w:p>
              </w:tc>
              <w:tc>
                <w:tcPr>
                  <w:tcW w:w="647"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5</w:t>
                  </w:r>
                </w:p>
              </w:tc>
              <w:tc>
                <w:tcPr>
                  <w:tcW w:w="827" w:type="dxa"/>
                  <w:tcBorders>
                    <w:tl2br w:val="nil"/>
                    <w:tr2bl w:val="nil"/>
                  </w:tcBorders>
                  <w:vAlign w:val="center"/>
                </w:tcPr>
                <w:p>
                  <w:pPr>
                    <w:tabs>
                      <w:tab w:val="left" w:pos="282"/>
                    </w:tabs>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00188</w:t>
                  </w:r>
                </w:p>
              </w:tc>
              <w:tc>
                <w:tcPr>
                  <w:tcW w:w="3149" w:type="dxa"/>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旅游心理学</w:t>
                  </w:r>
                </w:p>
              </w:tc>
              <w:tc>
                <w:tcPr>
                  <w:tcW w:w="647"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4</w:t>
                  </w:r>
                </w:p>
              </w:tc>
              <w:tc>
                <w:tcPr>
                  <w:tcW w:w="827" w:type="dxa"/>
                  <w:tcBorders>
                    <w:tl2br w:val="nil"/>
                    <w:tr2bl w:val="nil"/>
                  </w:tcBorders>
                  <w:vAlign w:val="center"/>
                </w:tcPr>
                <w:p>
                  <w:pPr>
                    <w:tabs>
                      <w:tab w:val="left" w:pos="282"/>
                    </w:tabs>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00191</w:t>
                  </w:r>
                </w:p>
              </w:tc>
              <w:tc>
                <w:tcPr>
                  <w:tcW w:w="3149" w:type="dxa"/>
                  <w:tcBorders>
                    <w:tl2br w:val="nil"/>
                    <w:tr2bl w:val="nil"/>
                  </w:tcBorders>
                  <w:vAlign w:val="center"/>
                </w:tcPr>
                <w:p>
                  <w:pPr>
                    <w:widowControl/>
                    <w:snapToGrid w:val="0"/>
                    <w:textAlignment w:val="center"/>
                    <w:rPr>
                      <w:rFonts w:ascii="仿宋_GB2312" w:hAnsi="仿宋_GB2312" w:eastAsia="仿宋_GB2312" w:cs="仿宋_GB2312"/>
                      <w:bCs/>
                      <w:sz w:val="24"/>
                      <w:szCs w:val="24"/>
                    </w:rPr>
                  </w:pPr>
                  <w:r>
                    <w:rPr>
                      <w:rStyle w:val="7"/>
                      <w:rFonts w:hint="eastAsia" w:ascii="仿宋_GB2312" w:hAnsi="仿宋_GB2312" w:eastAsia="仿宋_GB2312" w:cs="仿宋_GB2312"/>
                      <w:bCs/>
                      <w:lang w:val="en-US"/>
                    </w:rPr>
                    <w:t>旅行社经营与管理</w:t>
                  </w:r>
                </w:p>
              </w:tc>
              <w:tc>
                <w:tcPr>
                  <w:tcW w:w="647" w:type="dxa"/>
                  <w:tcBorders>
                    <w:tl2br w:val="nil"/>
                    <w:tr2bl w:val="nil"/>
                  </w:tcBorders>
                  <w:vAlign w:val="center"/>
                </w:tcPr>
                <w:p>
                  <w:pPr>
                    <w:widowControl/>
                    <w:snapToGrid w:val="0"/>
                    <w:textAlignment w:val="center"/>
                    <w:rPr>
                      <w:rFonts w:ascii="仿宋_GB2312" w:hAnsi="仿宋_GB2312" w:eastAsia="仿宋_GB2312" w:cs="仿宋_GB2312"/>
                      <w:bCs/>
                      <w:sz w:val="24"/>
                      <w:szCs w:val="24"/>
                    </w:rPr>
                  </w:pPr>
                  <w:r>
                    <w:rPr>
                      <w:rFonts w:ascii="仿宋_GB2312" w:hAnsi="仿宋_GB2312" w:eastAsia="仿宋_GB2312" w:cs="仿宋_GB2312"/>
                      <w:bCs/>
                      <w:color w:val="000000"/>
                      <w:sz w:val="24"/>
                      <w:szCs w:val="24"/>
                      <w:lang w:val="en-US"/>
                    </w:rPr>
                    <w:t>5</w:t>
                  </w:r>
                </w:p>
              </w:tc>
              <w:tc>
                <w:tcPr>
                  <w:tcW w:w="827" w:type="dxa"/>
                  <w:tcBorders>
                    <w:tl2br w:val="nil"/>
                    <w:tr2bl w:val="nil"/>
                  </w:tcBorders>
                  <w:vAlign w:val="center"/>
                </w:tcPr>
                <w:p>
                  <w:pPr>
                    <w:tabs>
                      <w:tab w:val="left" w:pos="222"/>
                    </w:tabs>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restart"/>
                  <w:tcBorders>
                    <w:tl2br w:val="nil"/>
                    <w:tr2bl w:val="nil"/>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业</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课</w:t>
                  </w:r>
                </w:p>
              </w:tc>
              <w:tc>
                <w:tcPr>
                  <w:tcW w:w="781" w:type="dxa"/>
                  <w:tcBorders>
                    <w:tl2br w:val="nil"/>
                    <w:tr2bl w:val="nil"/>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12</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00192</w:t>
                  </w:r>
                </w:p>
              </w:tc>
              <w:tc>
                <w:tcPr>
                  <w:tcW w:w="3149" w:type="dxa"/>
                  <w:tcBorders>
                    <w:tl2br w:val="nil"/>
                    <w:tr2bl w:val="nil"/>
                  </w:tcBorders>
                  <w:vAlign w:val="center"/>
                </w:tcPr>
                <w:p>
                  <w:pPr>
                    <w:widowControl/>
                    <w:snapToGrid w:val="0"/>
                    <w:textAlignment w:val="center"/>
                    <w:rPr>
                      <w:rFonts w:ascii="仿宋_GB2312" w:hAnsi="仿宋_GB2312" w:eastAsia="仿宋_GB2312" w:cs="仿宋_GB2312"/>
                      <w:bCs/>
                      <w:sz w:val="24"/>
                      <w:szCs w:val="24"/>
                    </w:rPr>
                  </w:pPr>
                  <w:r>
                    <w:rPr>
                      <w:rStyle w:val="7"/>
                      <w:rFonts w:hint="eastAsia" w:ascii="仿宋_GB2312" w:hAnsi="仿宋_GB2312" w:eastAsia="仿宋_GB2312" w:cs="仿宋_GB2312"/>
                      <w:bCs/>
                      <w:lang w:val="en-US"/>
                    </w:rPr>
                    <w:t>旅游市场学</w:t>
                  </w:r>
                </w:p>
              </w:tc>
              <w:tc>
                <w:tcPr>
                  <w:tcW w:w="647" w:type="dxa"/>
                  <w:tcBorders>
                    <w:tl2br w:val="nil"/>
                    <w:tr2bl w:val="nil"/>
                  </w:tcBorders>
                  <w:vAlign w:val="center"/>
                </w:tcPr>
                <w:p>
                  <w:pPr>
                    <w:widowControl/>
                    <w:snapToGrid w:val="0"/>
                    <w:textAlignment w:val="center"/>
                    <w:rPr>
                      <w:rFonts w:ascii="仿宋_GB2312" w:hAnsi="仿宋_GB2312" w:eastAsia="仿宋_GB2312" w:cs="仿宋_GB2312"/>
                      <w:bCs/>
                      <w:sz w:val="24"/>
                      <w:szCs w:val="24"/>
                    </w:rPr>
                  </w:pPr>
                  <w:r>
                    <w:rPr>
                      <w:rFonts w:ascii="仿宋_GB2312" w:hAnsi="仿宋_GB2312" w:eastAsia="仿宋_GB2312" w:cs="仿宋_GB2312"/>
                      <w:bCs/>
                      <w:color w:val="000000"/>
                      <w:sz w:val="24"/>
                      <w:szCs w:val="24"/>
                      <w:lang w:val="en-US"/>
                    </w:rPr>
                    <w:t>4</w:t>
                  </w:r>
                </w:p>
              </w:tc>
              <w:tc>
                <w:tcPr>
                  <w:tcW w:w="827" w:type="dxa"/>
                  <w:tcBorders>
                    <w:tl2br w:val="nil"/>
                    <w:tr2bl w:val="nil"/>
                  </w:tcBorders>
                  <w:vAlign w:val="center"/>
                </w:tcPr>
                <w:p>
                  <w:pPr>
                    <w:tabs>
                      <w:tab w:val="left" w:pos="222"/>
                    </w:tabs>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03922</w:t>
                  </w:r>
                </w:p>
              </w:tc>
              <w:tc>
                <w:tcPr>
                  <w:tcW w:w="3149"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hint="eastAsia" w:ascii="仿宋_GB2312" w:hAnsi="仿宋_GB2312" w:eastAsia="仿宋_GB2312" w:cs="仿宋_GB2312"/>
                      <w:bCs/>
                      <w:lang w:val="en-US"/>
                    </w:rPr>
                    <w:t>中外礼仪</w:t>
                  </w:r>
                </w:p>
              </w:tc>
              <w:tc>
                <w:tcPr>
                  <w:tcW w:w="647"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ascii="仿宋_GB2312" w:hAnsi="仿宋_GB2312" w:eastAsia="仿宋_GB2312" w:cs="仿宋_GB2312"/>
                      <w:bCs/>
                      <w:lang w:val="en-US"/>
                    </w:rPr>
                    <w:t>5</w:t>
                  </w:r>
                </w:p>
              </w:tc>
              <w:tc>
                <w:tcPr>
                  <w:tcW w:w="827" w:type="dxa"/>
                  <w:tcBorders>
                    <w:tl2br w:val="nil"/>
                    <w:tr2bl w:val="nil"/>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w:t>
                  </w:r>
                </w:p>
              </w:tc>
              <w:tc>
                <w:tcPr>
                  <w:tcW w:w="1020" w:type="dxa"/>
                  <w:tcBorders>
                    <w:tl2br w:val="nil"/>
                    <w:tr2bl w:val="nil"/>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06944</w:t>
                  </w:r>
                </w:p>
              </w:tc>
              <w:tc>
                <w:tcPr>
                  <w:tcW w:w="3149"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hint="eastAsia" w:ascii="仿宋_GB2312" w:hAnsi="仿宋_GB2312" w:eastAsia="仿宋_GB2312" w:cs="仿宋_GB2312"/>
                      <w:bCs/>
                      <w:lang w:val="en-US"/>
                    </w:rPr>
                    <w:t>中国旅游文化</w:t>
                  </w:r>
                </w:p>
              </w:tc>
              <w:tc>
                <w:tcPr>
                  <w:tcW w:w="647"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ascii="仿宋_GB2312" w:hAnsi="仿宋_GB2312" w:eastAsia="仿宋_GB2312" w:cs="仿宋_GB2312"/>
                      <w:bCs/>
                      <w:lang w:val="en-US"/>
                    </w:rPr>
                    <w:t>4</w:t>
                  </w:r>
                </w:p>
              </w:tc>
              <w:tc>
                <w:tcPr>
                  <w:tcW w:w="827" w:type="dxa"/>
                  <w:tcBorders>
                    <w:tl2br w:val="nil"/>
                    <w:tr2bl w:val="nil"/>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15</w:t>
                  </w:r>
                </w:p>
              </w:tc>
              <w:tc>
                <w:tcPr>
                  <w:tcW w:w="1020"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ascii="仿宋_GB2312" w:hAnsi="仿宋_GB2312" w:eastAsia="仿宋_GB2312" w:cs="仿宋_GB2312"/>
                      <w:bCs/>
                      <w:lang w:val="en-US"/>
                    </w:rPr>
                    <w:t>01521</w:t>
                  </w:r>
                </w:p>
              </w:tc>
              <w:tc>
                <w:tcPr>
                  <w:tcW w:w="3149"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hint="eastAsia" w:ascii="仿宋_GB2312" w:hAnsi="仿宋_GB2312" w:eastAsia="仿宋_GB2312" w:cs="仿宋_GB2312"/>
                      <w:bCs/>
                      <w:lang w:val="en-US"/>
                    </w:rPr>
                    <w:t>导游基础知识</w:t>
                  </w:r>
                </w:p>
              </w:tc>
              <w:tc>
                <w:tcPr>
                  <w:tcW w:w="647"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ascii="仿宋_GB2312" w:hAnsi="仿宋_GB2312" w:eastAsia="仿宋_GB2312" w:cs="仿宋_GB2312"/>
                      <w:bCs/>
                      <w:lang w:val="en-US"/>
                    </w:rPr>
                    <w:t>6</w:t>
                  </w:r>
                </w:p>
              </w:tc>
              <w:tc>
                <w:tcPr>
                  <w:tcW w:w="827" w:type="dxa"/>
                  <w:tcBorders>
                    <w:tl2br w:val="nil"/>
                    <w:tr2bl w:val="nil"/>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1308" w:type="dxa"/>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restart"/>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16</w:t>
                  </w:r>
                </w:p>
              </w:tc>
              <w:tc>
                <w:tcPr>
                  <w:tcW w:w="1020"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ascii="仿宋_GB2312" w:hAnsi="仿宋_GB2312" w:eastAsia="仿宋_GB2312" w:cs="仿宋_GB2312"/>
                      <w:bCs/>
                      <w:lang w:val="en-US"/>
                    </w:rPr>
                    <w:t>06177</w:t>
                  </w:r>
                </w:p>
              </w:tc>
              <w:tc>
                <w:tcPr>
                  <w:tcW w:w="3149"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hint="eastAsia" w:ascii="仿宋_GB2312" w:hAnsi="仿宋_GB2312" w:eastAsia="仿宋_GB2312" w:cs="仿宋_GB2312"/>
                      <w:bCs/>
                      <w:lang w:val="en-US"/>
                    </w:rPr>
                    <w:t>旅游公共关系学</w:t>
                  </w:r>
                </w:p>
              </w:tc>
              <w:tc>
                <w:tcPr>
                  <w:tcW w:w="647"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ascii="仿宋_GB2312" w:hAnsi="仿宋_GB2312" w:eastAsia="仿宋_GB2312" w:cs="仿宋_GB2312"/>
                      <w:bCs/>
                      <w:lang w:val="en-US"/>
                    </w:rPr>
                    <w:t>4</w:t>
                  </w:r>
                </w:p>
              </w:tc>
              <w:tc>
                <w:tcPr>
                  <w:tcW w:w="827" w:type="dxa"/>
                  <w:tcBorders>
                    <w:tl2br w:val="nil"/>
                    <w:tr2bl w:val="nil"/>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1308" w:type="dxa"/>
                  <w:vMerge w:val="restart"/>
                  <w:tcBorders>
                    <w:tl2br w:val="nil"/>
                    <w:tr2bl w:val="nil"/>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免</w:t>
                  </w:r>
                  <w:r>
                    <w:rPr>
                      <w:rFonts w:hint="eastAsia" w:ascii="仿宋_GB2312" w:hAnsi="仿宋_GB2312" w:eastAsia="仿宋_GB2312" w:cs="仿宋_GB2312"/>
                      <w:bCs/>
                      <w:sz w:val="24"/>
                      <w:szCs w:val="24"/>
                      <w:lang w:val="en-US"/>
                    </w:rPr>
                    <w:t>考</w:t>
                  </w:r>
                  <w:r>
                    <w:rPr>
                      <w:rFonts w:hint="eastAsia" w:ascii="仿宋_GB2312" w:hAnsi="仿宋_GB2312" w:eastAsia="仿宋_GB2312" w:cs="仿宋_GB2312"/>
                      <w:bCs/>
                      <w:sz w:val="24"/>
                      <w:szCs w:val="24"/>
                    </w:rPr>
                    <w:t>英语（</w:t>
                  </w:r>
                  <w:r>
                    <w:rPr>
                      <w:rFonts w:hint="eastAsia" w:ascii="仿宋_GB2312" w:hAnsi="仿宋_GB2312" w:eastAsia="仿宋_GB2312" w:cs="仿宋_GB2312"/>
                      <w:bCs/>
                      <w:sz w:val="24"/>
                      <w:szCs w:val="24"/>
                      <w:lang w:val="en-US"/>
                    </w:rPr>
                    <w:t>专</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785" w:type="dxa"/>
                  <w:vMerge w:val="continue"/>
                  <w:tcBorders>
                    <w:tl2br w:val="nil"/>
                    <w:tr2bl w:val="nil"/>
                  </w:tcBorders>
                  <w:vAlign w:val="center"/>
                </w:tcPr>
                <w:p>
                  <w:pPr>
                    <w:snapToGrid w:val="0"/>
                    <w:rPr>
                      <w:rFonts w:ascii="仿宋_GB2312" w:hAnsi="仿宋_GB2312" w:eastAsia="仿宋_GB2312" w:cs="仿宋_GB2312"/>
                      <w:bCs/>
                      <w:sz w:val="24"/>
                      <w:szCs w:val="24"/>
                    </w:rPr>
                  </w:pPr>
                </w:p>
              </w:tc>
              <w:tc>
                <w:tcPr>
                  <w:tcW w:w="781" w:type="dxa"/>
                  <w:tcBorders>
                    <w:tl2br w:val="nil"/>
                    <w:tr2bl w:val="nil"/>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17</w:t>
                  </w:r>
                </w:p>
              </w:tc>
              <w:tc>
                <w:tcPr>
                  <w:tcW w:w="1020"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ascii="仿宋_GB2312" w:hAnsi="仿宋_GB2312" w:eastAsia="仿宋_GB2312" w:cs="仿宋_GB2312"/>
                      <w:bCs/>
                      <w:lang w:val="en-US"/>
                    </w:rPr>
                    <w:t>07475</w:t>
                  </w:r>
                </w:p>
              </w:tc>
              <w:tc>
                <w:tcPr>
                  <w:tcW w:w="3149"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hint="eastAsia" w:ascii="仿宋_GB2312" w:hAnsi="仿宋_GB2312" w:eastAsia="仿宋_GB2312" w:cs="仿宋_GB2312"/>
                      <w:bCs/>
                      <w:lang w:val="en-US"/>
                    </w:rPr>
                    <w:t>旅游企业管理</w:t>
                  </w:r>
                </w:p>
              </w:tc>
              <w:tc>
                <w:tcPr>
                  <w:tcW w:w="647" w:type="dxa"/>
                  <w:tcBorders>
                    <w:tl2br w:val="nil"/>
                    <w:tr2bl w:val="nil"/>
                  </w:tcBorders>
                  <w:vAlign w:val="center"/>
                </w:tcPr>
                <w:p>
                  <w:pPr>
                    <w:widowControl/>
                    <w:snapToGrid w:val="0"/>
                    <w:textAlignment w:val="center"/>
                    <w:rPr>
                      <w:rStyle w:val="7"/>
                      <w:rFonts w:ascii="仿宋_GB2312" w:hAnsi="仿宋_GB2312" w:eastAsia="仿宋_GB2312" w:cs="仿宋_GB2312"/>
                      <w:bCs/>
                      <w:lang w:val="en-US"/>
                    </w:rPr>
                  </w:pPr>
                  <w:r>
                    <w:rPr>
                      <w:rStyle w:val="7"/>
                      <w:rFonts w:ascii="仿宋_GB2312" w:hAnsi="仿宋_GB2312" w:eastAsia="仿宋_GB2312" w:cs="仿宋_GB2312"/>
                      <w:bCs/>
                      <w:lang w:val="en-US"/>
                    </w:rPr>
                    <w:t>6</w:t>
                  </w:r>
                </w:p>
              </w:tc>
              <w:tc>
                <w:tcPr>
                  <w:tcW w:w="827" w:type="dxa"/>
                  <w:tcBorders>
                    <w:tl2br w:val="nil"/>
                    <w:tr2bl w:val="nil"/>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笔试</w:t>
                  </w:r>
                </w:p>
              </w:tc>
              <w:tc>
                <w:tcPr>
                  <w:tcW w:w="1308" w:type="dxa"/>
                  <w:vMerge w:val="continue"/>
                  <w:tcBorders>
                    <w:tl2br w:val="nil"/>
                    <w:tr2bl w:val="nil"/>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5735" w:type="dxa"/>
                  <w:gridSpan w:val="4"/>
                  <w:tcBorders>
                    <w:tl2br w:val="nil"/>
                    <w:tr2bl w:val="nil"/>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lang w:val="en-US"/>
                    </w:rPr>
                    <w:t>总学分</w:t>
                  </w:r>
                </w:p>
              </w:tc>
              <w:tc>
                <w:tcPr>
                  <w:tcW w:w="2782" w:type="dxa"/>
                  <w:gridSpan w:val="3"/>
                  <w:tcBorders>
                    <w:tl2br w:val="nil"/>
                    <w:tr2bl w:val="nil"/>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color w:val="000000"/>
                      <w:sz w:val="24"/>
                      <w:szCs w:val="24"/>
                      <w:lang w:val="en-US"/>
                    </w:rPr>
                    <w:t>70</w:t>
                  </w:r>
                </w:p>
              </w:tc>
            </w:tr>
            <w:bookmarkEnd w:id="0"/>
          </w:tbl>
          <w:p>
            <w:pPr>
              <w:autoSpaceDE/>
              <w:autoSpaceDN/>
              <w:snapToGrid w:val="0"/>
              <w:spacing w:line="360" w:lineRule="auto"/>
              <w:ind w:firstLine="562" w:firstLineChars="200"/>
              <w:jc w:val="left"/>
              <w:rPr>
                <w:rFonts w:hint="eastAsia" w:ascii="仿宋_GB2312" w:hAnsi="仿宋_GB2312" w:eastAsia="仿宋_GB2312" w:cs="仿宋_GB2312"/>
                <w:b/>
                <w:color w:val="000000"/>
                <w:sz w:val="28"/>
                <w:szCs w:val="28"/>
              </w:rPr>
            </w:pPr>
          </w:p>
          <w:p>
            <w:pPr>
              <w:autoSpaceDE/>
              <w:autoSpaceDN/>
              <w:snapToGrid w:val="0"/>
              <w:spacing w:line="360" w:lineRule="auto"/>
              <w:ind w:firstLine="562" w:firstLineChars="200"/>
              <w:jc w:val="left"/>
              <w:rPr>
                <w:rFonts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五、主要课程说明</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lang w:val="en-US"/>
              </w:rPr>
              <w:t>旅游学概论</w:t>
            </w:r>
          </w:p>
          <w:p>
            <w:pPr>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旅游学的基本概念，旅游活动的构成要素及其发生、发展的一般规律，旅游管理各领域的宏观结构，旅游行业的基本构成和产业特点。通过学习本课程，使学生掌握旅游专业领域的核心概念，能够分析现存的各种旅游现象，了解旅游业构成及未来发展趋势，熟悉未来职业领域及产业特点，为进一步学习《旅游经济学</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旅游心理学</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旅行社经营与管理》等专业课程奠定理论和方法基础。</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旅游经济学</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本课程主要内容为旅游经济活动过程中的经济现象、经济关系和经济规律。通过学习本课程，使学生可以全面</w:t>
            </w:r>
            <w:r>
              <w:rPr>
                <w:rFonts w:hint="eastAsia" w:ascii="仿宋_GB2312" w:hAnsi="仿宋_GB2312" w:eastAsia="仿宋_GB2312" w:cs="仿宋_GB2312"/>
                <w:kern w:val="2"/>
                <w:sz w:val="28"/>
                <w:szCs w:val="28"/>
                <w:lang w:val="en-US" w:eastAsia="zh-CN"/>
              </w:rPr>
              <w:t>地</w:t>
            </w:r>
            <w:r>
              <w:rPr>
                <w:rFonts w:hint="eastAsia" w:ascii="仿宋_GB2312" w:hAnsi="仿宋_GB2312" w:eastAsia="仿宋_GB2312" w:cs="仿宋_GB2312"/>
                <w:kern w:val="2"/>
                <w:sz w:val="28"/>
                <w:szCs w:val="28"/>
                <w:lang w:val="en-US"/>
              </w:rPr>
              <w:t>了解经济学在旅游中的应用，掌握旅游经济的基本原理与方法，能够自觉地运用这些基本理论解决旅游经济活动中的实际问题，并指导旅游经济活动实践。</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3.</w:t>
            </w:r>
            <w:r>
              <w:rPr>
                <w:rFonts w:hint="eastAsia" w:ascii="仿宋_GB2312" w:hAnsi="仿宋_GB2312" w:eastAsia="仿宋_GB2312" w:cs="仿宋_GB2312"/>
                <w:kern w:val="2"/>
                <w:sz w:val="28"/>
                <w:szCs w:val="28"/>
                <w:lang w:val="en-US"/>
              </w:rPr>
              <w:t>旅游心理学</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旅游者在旅游活动过程中的心理特点和行为特点分析。通过学习本课程，使学生了解涉及旅游活动的心理学问题，包括旅游者的心理变化规律，旅游活动和旅游服务的心理学问题以及旅游中的人际关系问题等，学会运用心理学理论分析现实生活中的旅游活动，更好地为旅游者提供服务，为将来走上旅游岗位奠定坚实的理论基础。</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4.</w:t>
            </w:r>
            <w:r>
              <w:rPr>
                <w:rFonts w:hint="eastAsia" w:ascii="仿宋_GB2312" w:hAnsi="仿宋_GB2312" w:eastAsia="仿宋_GB2312" w:cs="仿宋_GB2312"/>
                <w:kern w:val="2"/>
                <w:sz w:val="28"/>
                <w:szCs w:val="28"/>
                <w:lang w:val="en-US"/>
              </w:rPr>
              <w:t>旅行社经营与管理</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本课程主要内容为旅行社的性质与职能、旅行社的基本业务、旅行社的经营管理理念、旅行社的地位与作用。通过学习本课程，</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使学生了解旅行社及旅行社行业的基本情况，熟悉旅行社的组织设计与组织管理，掌握旅行社的业务流程，掌握旅行社各个部门的业务运作及管理，了解新技术条件下的旅行社业务及管理，掌握并学会运用旅行社行业管理的相关</w:t>
            </w:r>
            <w:r>
              <w:rPr>
                <w:rFonts w:hint="eastAsia" w:ascii="仿宋_GB2312" w:hAnsi="仿宋_GB2312" w:eastAsia="仿宋_GB2312" w:cs="仿宋_GB2312"/>
                <w:kern w:val="2"/>
                <w:sz w:val="28"/>
                <w:szCs w:val="28"/>
                <w:lang w:val="en-US" w:eastAsia="zh-CN"/>
              </w:rPr>
              <w:t>法律法规</w:t>
            </w:r>
            <w:r>
              <w:rPr>
                <w:rFonts w:hint="eastAsia" w:ascii="仿宋_GB2312" w:hAnsi="仿宋_GB2312" w:eastAsia="仿宋_GB2312" w:cs="仿宋_GB2312"/>
                <w:kern w:val="2"/>
                <w:sz w:val="28"/>
                <w:szCs w:val="28"/>
                <w:lang w:val="en-US"/>
              </w:rPr>
              <w:t>，从而顺利地开展旅行社相关业务及各项经营管理工作。</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5.</w:t>
            </w:r>
            <w:r>
              <w:rPr>
                <w:rFonts w:hint="eastAsia" w:ascii="仿宋_GB2312" w:hAnsi="仿宋_GB2312" w:eastAsia="仿宋_GB2312" w:cs="仿宋_GB2312"/>
                <w:kern w:val="2"/>
                <w:sz w:val="28"/>
                <w:szCs w:val="28"/>
                <w:lang w:val="en-US"/>
              </w:rPr>
              <w:t>旅游市场学</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旅游营销的重要性、旅游者购买行为分析、旅游市场细分及目标市场的选择、旅游营销及营销管理等等。通过学习本课程，使学生能够对旅游市场上的消费者个体或者机构的购买行为进行分析，进而对自己的产品能够进行准确</w:t>
            </w:r>
            <w:r>
              <w:rPr>
                <w:rFonts w:hint="eastAsia" w:ascii="仿宋_GB2312" w:hAnsi="仿宋_GB2312" w:eastAsia="仿宋_GB2312" w:cs="仿宋_GB2312"/>
                <w:kern w:val="2"/>
                <w:sz w:val="28"/>
                <w:szCs w:val="28"/>
                <w:lang w:val="en-US" w:eastAsia="zh-CN"/>
              </w:rPr>
              <w:t>的</w:t>
            </w:r>
            <w:r>
              <w:rPr>
                <w:rFonts w:hint="eastAsia" w:ascii="仿宋_GB2312" w:hAnsi="仿宋_GB2312" w:eastAsia="仿宋_GB2312" w:cs="仿宋_GB2312"/>
                <w:kern w:val="2"/>
                <w:sz w:val="28"/>
                <w:szCs w:val="28"/>
                <w:lang w:val="en-US"/>
              </w:rPr>
              <w:t>定位，针对目标市场选择适合自己的营销策略、定价策略、促销策略和渠道策略，促进产品的销售，提升服务和管理水平。</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6.</w:t>
            </w:r>
            <w:r>
              <w:rPr>
                <w:rFonts w:hint="eastAsia" w:ascii="仿宋_GB2312" w:hAnsi="仿宋_GB2312" w:eastAsia="仿宋_GB2312" w:cs="仿宋_GB2312"/>
                <w:kern w:val="2"/>
                <w:sz w:val="28"/>
                <w:szCs w:val="28"/>
                <w:lang w:val="en-US"/>
              </w:rPr>
              <w:t>中外礼仪</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中外服饰礼仪、中外体态礼仪、中外见面交往礼仪、中外通信联系礼仪、中外馈赠礼仪、中外宗教礼仪等等。通过学习本课程，使学生能够了解我国与主要客源国国家人民在互通交往方面的有关礼仪，有助于增进与各国人民的沟通和交流，促进友谊，同时也能够在旅游接待实践中正确运用相关礼仪，给各国游客留下良好的印象，促进旅游业的国际化发展。</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7.</w:t>
            </w:r>
            <w:r>
              <w:rPr>
                <w:rFonts w:hint="eastAsia" w:ascii="仿宋_GB2312" w:hAnsi="仿宋_GB2312" w:eastAsia="仿宋_GB2312" w:cs="仿宋_GB2312"/>
                <w:kern w:val="2"/>
                <w:sz w:val="28"/>
                <w:szCs w:val="28"/>
                <w:lang w:val="en-US"/>
              </w:rPr>
              <w:t>中国旅游文化</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中国旅游文化的发展历程、旅游文化的类型、中国饮食文化与旅游、中国建筑文化与旅游、中国园林文化与旅游、中国宗教文化与旅游、中国戏曲文化与旅游等知识。通过学习本课程，使学生了解旅游文化的概念、特征和结构，充分认识旅游文化的地位和作用；了解旅游文化的发展历程和各阶段特点；了解中国旅游文化的传统和价值，掌握园林文化、建筑文化、山水文化、宗教文化、民俗文化、饮食文化的概念、特点、发展历程等相关知识内容；加深对中国自然旅游资源和人文旅游资源内涵的认识和理解，进而培养学生热爱祖国的美好情感。同时，提高自身的专业知识水平与综合文化素养，能更好地为游客提供旅游服务。</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8.</w:t>
            </w:r>
            <w:r>
              <w:rPr>
                <w:rFonts w:hint="eastAsia" w:ascii="仿宋_GB2312" w:hAnsi="仿宋_GB2312" w:eastAsia="仿宋_GB2312" w:cs="仿宋_GB2312"/>
                <w:kern w:val="2"/>
                <w:sz w:val="28"/>
                <w:szCs w:val="28"/>
                <w:lang w:val="en-US"/>
              </w:rPr>
              <w:t>导游基础知识</w:t>
            </w:r>
          </w:p>
          <w:p>
            <w:pPr>
              <w:pStyle w:val="4"/>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中国自然地理概述，中国历史发展概要和中国传统文化常识，中国部分少数民族概况，中国古建筑的主要类别，中国古典园林的起源、特色、分类、构景手法和现存园林，中国烹饪的特点、流派，四大菜系，名茶和名酒以及中国各类旅游景观和导游工作中会运用到的中国文学知识等等。通过学习本课程，使学生具备扎实的文化基础知识，增加讲解的内涵与</w:t>
            </w:r>
            <w:r>
              <w:rPr>
                <w:rFonts w:hint="eastAsia" w:ascii="仿宋_GB2312" w:hAnsi="仿宋_GB2312" w:eastAsia="仿宋_GB2312" w:cs="仿宋_GB2312"/>
                <w:kern w:val="2"/>
                <w:sz w:val="28"/>
                <w:szCs w:val="28"/>
                <w:lang w:val="en-US" w:eastAsia="zh-CN"/>
              </w:rPr>
              <w:t>品位</w:t>
            </w:r>
            <w:r>
              <w:rPr>
                <w:rFonts w:hint="eastAsia" w:ascii="仿宋_GB2312" w:hAnsi="仿宋_GB2312" w:eastAsia="仿宋_GB2312" w:cs="仿宋_GB2312"/>
                <w:kern w:val="2"/>
                <w:sz w:val="28"/>
                <w:szCs w:val="28"/>
                <w:lang w:val="en-US"/>
              </w:rPr>
              <w:t>，弘扬祖国五千年的文明与文化，满足游客的文化知识追求，担任文化的传播者，真正在旅游工作中承担起“文化大使”的重任。</w:t>
            </w:r>
          </w:p>
          <w:p>
            <w:pPr>
              <w:pStyle w:val="4"/>
              <w:autoSpaceDE/>
              <w:autoSpaceDN/>
              <w:snapToGrid w:val="0"/>
              <w:spacing w:line="360" w:lineRule="auto"/>
              <w:ind w:firstLine="560" w:firstLineChars="200"/>
              <w:jc w:val="left"/>
              <w:rPr>
                <w:rFonts w:hint="eastAsia" w:ascii="仿宋_GB2312" w:hAnsi="仿宋_GB2312" w:eastAsia="仿宋_GB2312" w:cs="仿宋_GB2312"/>
                <w:kern w:val="2"/>
                <w:sz w:val="28"/>
                <w:szCs w:val="28"/>
                <w:lang w:val="en-US" w:eastAsia="zh-CN"/>
              </w:rPr>
            </w:pPr>
            <w:r>
              <w:rPr>
                <w:rFonts w:ascii="仿宋_GB2312" w:hAnsi="仿宋_GB2312" w:eastAsia="仿宋_GB2312" w:cs="仿宋_GB2312"/>
                <w:kern w:val="2"/>
                <w:sz w:val="28"/>
                <w:szCs w:val="28"/>
                <w:lang w:val="en-US"/>
              </w:rPr>
              <w:t>9.</w:t>
            </w:r>
            <w:r>
              <w:rPr>
                <w:rFonts w:hint="eastAsia" w:ascii="仿宋_GB2312" w:hAnsi="仿宋_GB2312" w:eastAsia="仿宋_GB2312" w:cs="仿宋_GB2312"/>
                <w:kern w:val="2"/>
                <w:sz w:val="28"/>
                <w:szCs w:val="28"/>
                <w:lang w:val="en-US"/>
              </w:rPr>
              <w:t>全国统一命题考试课程（略）</w:t>
            </w:r>
            <w:r>
              <w:rPr>
                <w:rFonts w:hint="eastAsia" w:ascii="仿宋_GB2312" w:hAnsi="仿宋_GB2312" w:eastAsia="仿宋_GB2312" w:cs="仿宋_GB2312"/>
                <w:kern w:val="2"/>
                <w:sz w:val="28"/>
                <w:szCs w:val="28"/>
                <w:lang w:val="en-US" w:eastAsia="zh-CN"/>
              </w:rPr>
              <w:t>。</w:t>
            </w:r>
          </w:p>
          <w:p>
            <w:pPr>
              <w:pStyle w:val="4"/>
              <w:autoSpaceDE/>
              <w:autoSpaceDN/>
              <w:snapToGrid w:val="0"/>
              <w:spacing w:line="360" w:lineRule="auto"/>
              <w:ind w:firstLine="560" w:firstLineChars="200"/>
              <w:jc w:val="left"/>
              <w:rPr>
                <w:rFonts w:hint="eastAsia" w:ascii="仿宋_GB2312" w:hAnsi="仿宋_GB2312" w:eastAsia="仿宋_GB2312" w:cs="仿宋_GB2312"/>
                <w:kern w:val="2"/>
                <w:sz w:val="28"/>
                <w:szCs w:val="28"/>
                <w:lang w:val="en-US" w:eastAsia="zh-CN"/>
              </w:rPr>
            </w:pPr>
            <w:r>
              <w:rPr>
                <w:rFonts w:ascii="仿宋_GB2312" w:hAnsi="仿宋_GB2312" w:eastAsia="仿宋_GB2312" w:cs="仿宋_GB2312"/>
                <w:kern w:val="2"/>
                <w:sz w:val="28"/>
                <w:szCs w:val="28"/>
                <w:lang w:val="en-US"/>
              </w:rPr>
              <w:t>10.</w:t>
            </w:r>
            <w:r>
              <w:rPr>
                <w:rFonts w:hint="eastAsia" w:ascii="仿宋_GB2312" w:hAnsi="仿宋_GB2312" w:eastAsia="仿宋_GB2312" w:cs="仿宋_GB2312"/>
                <w:kern w:val="2"/>
                <w:sz w:val="28"/>
                <w:szCs w:val="28"/>
                <w:lang w:val="en-US"/>
              </w:rPr>
              <w:t>实践性学习环节课程（按主考学校要求执行）</w:t>
            </w:r>
            <w:r>
              <w:rPr>
                <w:rFonts w:hint="eastAsia" w:ascii="仿宋_GB2312" w:hAnsi="仿宋_GB2312" w:eastAsia="仿宋_GB2312" w:cs="仿宋_GB2312"/>
                <w:kern w:val="2"/>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含实践的课程及实践所占学分：计算机应用基础</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学分。</w:t>
            </w:r>
          </w:p>
          <w:p>
            <w:pPr>
              <w:autoSpaceDE/>
              <w:autoSpaceDN/>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color w:val="000000"/>
                <w:sz w:val="28"/>
                <w:szCs w:val="28"/>
                <w:lang w:val="en-US"/>
              </w:rPr>
              <w:t>凡理论考试与实践环节考核两部分相结合的课程为一门课程，考生必须取得两个部分的合格成绩方能获得该门课程的学分。</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七、其他必要的说明</w:t>
            </w:r>
          </w:p>
          <w:p>
            <w:pPr>
              <w:widowControl/>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仿宋_GB2312" w:hAnsi="仿宋_GB2312" w:eastAsia="仿宋_GB2312" w:cs="仿宋_GB2312"/>
                <w:color w:val="000000"/>
                <w:sz w:val="28"/>
                <w:szCs w:val="28"/>
                <w:lang w:val="en-US"/>
              </w:rPr>
              <w:t>接续本科专业举例：旅游管理、酒店管理。</w:t>
            </w:r>
          </w:p>
          <w:p>
            <w:pPr>
              <w:pStyle w:val="4"/>
              <w:rPr>
                <w:rFonts w:ascii="Times New Roman" w:hAnsi="Times New Roman"/>
                <w:lang w:val="en-US"/>
              </w:rPr>
            </w:pPr>
          </w:p>
          <w:p>
            <w:pPr>
              <w:autoSpaceDE/>
              <w:autoSpaceDN/>
              <w:spacing w:line="540" w:lineRule="exact"/>
              <w:rPr>
                <w:rFonts w:ascii="Times New Roman" w:hAnsi="Times New Roman"/>
                <w:color w:val="FF0000"/>
                <w:lang w:val="en-US"/>
              </w:rPr>
            </w:pPr>
          </w:p>
          <w:p>
            <w:pPr>
              <w:autoSpaceDE/>
              <w:autoSpaceDN/>
              <w:adjustRightInd w:val="0"/>
              <w:snapToGrid w:val="0"/>
              <w:spacing w:line="540" w:lineRule="exact"/>
              <w:ind w:firstLine="560" w:firstLineChars="200"/>
              <w:rPr>
                <w:rFonts w:ascii="Times New Roman" w:hAnsi="Times New Roman" w:eastAsia="仿宋" w:cs="仿宋"/>
                <w:kern w:val="2"/>
                <w:sz w:val="28"/>
                <w:szCs w:val="28"/>
                <w:lang w:val="en-US"/>
              </w:rPr>
            </w:pPr>
          </w:p>
          <w:p>
            <w:pPr>
              <w:pStyle w:val="4"/>
              <w:rPr>
                <w:rFonts w:ascii="Times New Roman" w:hAnsi="Times New Roman"/>
              </w:rPr>
            </w:pPr>
          </w:p>
          <w:p>
            <w:pPr>
              <w:pStyle w:val="4"/>
              <w:autoSpaceDE/>
              <w:autoSpaceDN/>
              <w:spacing w:line="540" w:lineRule="exact"/>
              <w:ind w:firstLine="0"/>
              <w:rPr>
                <w:rFonts w:ascii="Times New Roman" w:hAnsi="Times New Roman"/>
              </w:rPr>
            </w:pPr>
          </w:p>
          <w:p>
            <w:pPr>
              <w:pStyle w:val="4"/>
              <w:autoSpaceDE/>
              <w:autoSpaceDN/>
              <w:spacing w:line="540" w:lineRule="exact"/>
              <w:rPr>
                <w:rFonts w:ascii="Times New Roman" w:hAnsi="Times New Roman" w:eastAsia="仿宋" w:cs="仿宋"/>
                <w:color w:val="000000"/>
                <w:kern w:val="2"/>
                <w:sz w:val="28"/>
                <w:szCs w:val="28"/>
                <w:lang w:val="en-US"/>
              </w:rPr>
            </w:pPr>
          </w:p>
          <w:p>
            <w:pPr>
              <w:rPr>
                <w:rFonts w:ascii="Times New Roman" w:hAnsi="Times New Roman"/>
              </w:rPr>
            </w:pPr>
          </w:p>
          <w:p>
            <w:pPr>
              <w:spacing w:line="520" w:lineRule="exact"/>
              <w:rPr>
                <w:rFonts w:ascii="Times New Roman" w:hAnsi="Times New Roman" w:eastAsia="微软雅黑"/>
                <w:b/>
                <w:bCs/>
                <w:sz w:val="30"/>
                <w:szCs w:val="30"/>
              </w:rPr>
            </w:pPr>
          </w:p>
        </w:tc>
      </w:tr>
    </w:tbl>
    <w:p>
      <w:pPr>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旅游管理（专科）专业课程设置与学分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ind w:firstLine="240" w:firstLineChars="100"/>
        <w:textAlignment w:val="auto"/>
        <w:rPr>
          <w:rFonts w:hint="eastAsia" w:ascii="Times New Roman" w:hAnsi="Times New Roman" w:eastAsia="宋体" w:cs="宋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宋体" w:cs="宋体"/>
          <w:color w:val="auto"/>
          <w:kern w:val="0"/>
          <w:sz w:val="24"/>
          <w:szCs w:val="22"/>
          <w:lang w:val="en-US" w:eastAsia="zh-CN"/>
        </w:rPr>
        <w:t>540101</w:t>
      </w:r>
    </w:p>
    <w:tbl>
      <w:tblPr>
        <w:tblStyle w:val="5"/>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88"/>
        <w:gridCol w:w="4773"/>
        <w:gridCol w:w="943"/>
        <w:gridCol w:w="1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00018</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计算机应用基础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00019</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计算机应用基础（实践）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00191</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旅行社经营与管理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13124</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13125</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高等数学（经管类）</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13126</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管理学原理（初级）</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13886</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经济学原理（初级）</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00187</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旅游经济学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00188</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旅游心理学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00192</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旅游市场学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01521</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导游基础知识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03922</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中外礼仪</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06011</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旅游学概论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06944</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中国旅游文化</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16</w:t>
            </w:r>
          </w:p>
        </w:tc>
        <w:tc>
          <w:tcPr>
            <w:tcW w:w="56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2"/>
                <w:sz w:val="18"/>
                <w:szCs w:val="18"/>
                <w:u w:val="none"/>
                <w:lang w:val="en-US" w:eastAsia="zh-CN" w:bidi="ar"/>
              </w:rPr>
            </w:pPr>
            <w:r>
              <w:rPr>
                <w:rStyle w:val="7"/>
                <w:rFonts w:hint="eastAsia" w:ascii="Times New Roman" w:hAnsi="Times New Roman" w:eastAsia="宋体" w:cs="宋体"/>
                <w:sz w:val="18"/>
                <w:szCs w:val="18"/>
                <w:lang w:val="en-US" w:eastAsia="zh-CN" w:bidi="ar"/>
              </w:rPr>
              <w:t>06177</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2"/>
                <w:sz w:val="18"/>
                <w:szCs w:val="18"/>
                <w:highlight w:val="none"/>
                <w:u w:val="none"/>
                <w:lang w:val="en-US" w:eastAsia="zh-CN" w:bidi="ar"/>
              </w:rPr>
            </w:pPr>
            <w:r>
              <w:rPr>
                <w:rStyle w:val="7"/>
                <w:rFonts w:hint="eastAsia" w:ascii="Times New Roman" w:hAnsi="Times New Roman" w:eastAsia="宋体" w:cs="宋体"/>
                <w:sz w:val="18"/>
                <w:szCs w:val="18"/>
                <w:highlight w:val="none"/>
                <w:lang w:val="en-US" w:eastAsia="zh-CN" w:bidi="ar"/>
              </w:rPr>
              <w:t>旅游公共关系学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2"/>
                <w:sz w:val="18"/>
                <w:szCs w:val="18"/>
                <w:highlight w:val="none"/>
                <w:u w:val="none"/>
                <w:lang w:val="en-US" w:eastAsia="zh-CN" w:bidi="ar"/>
              </w:rPr>
            </w:pPr>
            <w:r>
              <w:rPr>
                <w:rStyle w:val="7"/>
                <w:rFonts w:hint="eastAsia" w:ascii="Times New Roman" w:hAnsi="Times New Roman" w:eastAsia="宋体" w:cs="宋体"/>
                <w:sz w:val="18"/>
                <w:szCs w:val="18"/>
                <w:highlight w:val="none"/>
                <w:lang w:val="en-US" w:eastAsia="zh-CN" w:bidi="ar"/>
              </w:rPr>
              <w:t>4</w:t>
            </w:r>
          </w:p>
        </w:tc>
        <w:tc>
          <w:tcPr>
            <w:tcW w:w="1022"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17</w:t>
            </w:r>
          </w:p>
        </w:tc>
        <w:tc>
          <w:tcPr>
            <w:tcW w:w="56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2"/>
                <w:sz w:val="18"/>
                <w:szCs w:val="18"/>
                <w:u w:val="none"/>
                <w:lang w:val="en-US" w:eastAsia="zh-CN" w:bidi="ar"/>
              </w:rPr>
            </w:pPr>
            <w:r>
              <w:rPr>
                <w:rStyle w:val="7"/>
                <w:rFonts w:hint="eastAsia" w:ascii="Times New Roman" w:hAnsi="Times New Roman" w:eastAsia="宋体" w:cs="宋体"/>
                <w:sz w:val="18"/>
                <w:szCs w:val="18"/>
                <w:lang w:val="en-US" w:eastAsia="zh-CN" w:bidi="ar"/>
              </w:rPr>
              <w:t>07475</w:t>
            </w:r>
          </w:p>
        </w:tc>
        <w:tc>
          <w:tcPr>
            <w:tcW w:w="2474"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2"/>
                <w:sz w:val="18"/>
                <w:szCs w:val="18"/>
                <w:highlight w:val="none"/>
                <w:u w:val="none"/>
                <w:lang w:val="en-US" w:eastAsia="zh-CN" w:bidi="ar"/>
              </w:rPr>
            </w:pPr>
            <w:r>
              <w:rPr>
                <w:rStyle w:val="7"/>
                <w:rFonts w:hint="eastAsia" w:ascii="Times New Roman" w:hAnsi="Times New Roman" w:eastAsia="宋体" w:cs="宋体"/>
                <w:sz w:val="18"/>
                <w:szCs w:val="18"/>
                <w:highlight w:val="none"/>
                <w:lang w:val="en-US" w:eastAsia="zh-CN" w:bidi="ar"/>
              </w:rPr>
              <w:t>旅游企业管理</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2"/>
                <w:sz w:val="18"/>
                <w:szCs w:val="18"/>
                <w:highlight w:val="none"/>
                <w:u w:val="none"/>
                <w:lang w:val="en-US" w:eastAsia="zh-CN" w:bidi="ar"/>
              </w:rPr>
            </w:pPr>
            <w:r>
              <w:rPr>
                <w:rStyle w:val="7"/>
                <w:rFonts w:hint="eastAsia" w:ascii="Times New Roman" w:hAnsi="Times New Roman" w:eastAsia="宋体" w:cs="宋体"/>
                <w:sz w:val="18"/>
                <w:szCs w:val="18"/>
                <w:highlight w:val="none"/>
                <w:lang w:val="en-US" w:eastAsia="zh-CN" w:bidi="ar"/>
              </w:rPr>
              <w:t>6</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13"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6"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70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旅游管理（专科）专业考试计划对应衔接表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764"/>
        <w:gridCol w:w="2429"/>
        <w:gridCol w:w="641"/>
        <w:gridCol w:w="675"/>
        <w:gridCol w:w="706"/>
        <w:gridCol w:w="2480"/>
        <w:gridCol w:w="646"/>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旅游管理（专科），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640101</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旅游管理（专科），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540101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03706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思想道德修养与法律基础</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12656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毛泽东思想和中国特色社会主义理论体系概论</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00012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13124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英语（专）</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00018</w:t>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计算机应用基础</w:t>
            </w: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00018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计算机应用基础</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00019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计算机应用基础（实践）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04729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大学语文</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13125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 xml:space="preserve">高等数学（经管类） </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00194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旅游法规</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13886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经济学原理（初级）</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00193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饭店管理概论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13126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管理学原理（初级）</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06011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旅游学概论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06011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旅游学概论</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00187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旅游经济学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00187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旅游经济学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00188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旅游心理学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00188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旅游心理学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00191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旅行社经营与管理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00191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旅行社经营与管理</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00192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旅游市场学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00192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旅游市场学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00190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中国旅游地理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03922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中外礼仪</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00182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公共关系学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06944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中国旅游文化</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08564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中国历史文化</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01521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导游基础知识</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旅游管理（专科）专业教材明细表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6"/>
        <w:gridCol w:w="1440"/>
        <w:gridCol w:w="780"/>
        <w:gridCol w:w="1050"/>
        <w:gridCol w:w="2428"/>
        <w:gridCol w:w="3306"/>
        <w:gridCol w:w="1220"/>
        <w:gridCol w:w="1651"/>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00018</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姚琳</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00019</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计算机应用基础（实践）</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00191</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旅行社经营与管理</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旅行社经营管理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赵利民</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13124</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英语（一）自学教程</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13125</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高等数学（经管类）</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高等数学（经管类）</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扈志明</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13126</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13886</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经济学原理（初级）</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经济学原理（初级）</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周业安</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00187</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旅游经济学</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旅游经济学</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朱伟</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00188</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旅游心理学</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旅游心理学</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孙喜林、杨金桥</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东北财经大学出版社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旅游市场学</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旅游市场学</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林南枝、黄晶</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01521</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导游基础知识</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导游基础知识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李露</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03922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中外礼仪</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中外礼仪</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何浩然、虞昌亮</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东北财经大学出版社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06011</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旅游学概论</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旅游学概论</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刘扬林、段喜莲</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北京交通大学出版社</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540101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06944</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中国旅游文化</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837F97-474B-4EC4-AE85-D55C83EFBB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38303EC-5034-4AC5-8BEF-2252E73E85EA}"/>
  </w:font>
  <w:font w:name="仿宋">
    <w:panose1 w:val="02010609060101010101"/>
    <w:charset w:val="86"/>
    <w:family w:val="modern"/>
    <w:pitch w:val="default"/>
    <w:sig w:usb0="800002BF" w:usb1="38CF7CFA" w:usb2="00000016" w:usb3="00000000" w:csb0="00040001" w:csb1="00000000"/>
    <w:embedRegular r:id="rId3" w:fontKey="{FCF084A2-6F71-4635-8F3D-289675A8EDCC}"/>
  </w:font>
  <w:font w:name="方正仿宋_GBK">
    <w:panose1 w:val="02000000000000000000"/>
    <w:charset w:val="86"/>
    <w:family w:val="script"/>
    <w:pitch w:val="default"/>
    <w:sig w:usb0="A00002BF" w:usb1="38CF7CFA" w:usb2="00082016" w:usb3="00000000" w:csb0="00040001" w:csb1="00000000"/>
    <w:embedRegular r:id="rId4" w:fontKey="{CF87E95C-8291-4A51-B7C5-9379454800A3}"/>
  </w:font>
  <w:font w:name="仿宋_GB2312">
    <w:panose1 w:val="02010609030101010101"/>
    <w:charset w:val="86"/>
    <w:family w:val="modern"/>
    <w:pitch w:val="default"/>
    <w:sig w:usb0="00000001" w:usb1="080E0000" w:usb2="00000000" w:usb3="00000000" w:csb0="00040000" w:csb1="00000000"/>
    <w:embedRegular r:id="rId5" w:fontKey="{3CFDE70E-F7FC-4C2D-90FF-5CAA66CE97E6}"/>
  </w:font>
  <w:font w:name="微软雅黑">
    <w:panose1 w:val="020B0503020204020204"/>
    <w:charset w:val="86"/>
    <w:family w:val="auto"/>
    <w:pitch w:val="default"/>
    <w:sig w:usb0="80000287" w:usb1="2ACF3C50" w:usb2="00000016" w:usb3="00000000" w:csb0="0004001F" w:csb1="00000000"/>
    <w:embedRegular r:id="rId6" w:fontKey="{EE6545F1-8096-46E4-98A6-CB11358F2A1C}"/>
  </w:font>
  <w:font w:name="方正小标宋_GBK">
    <w:panose1 w:val="02000000000000000000"/>
    <w:charset w:val="86"/>
    <w:family w:val="script"/>
    <w:pitch w:val="default"/>
    <w:sig w:usb0="A00002BF" w:usb1="38CF7CFA" w:usb2="00082016" w:usb3="00000000" w:csb0="00040001" w:csb1="00000000"/>
    <w:embedRegular r:id="rId7" w:fontKey="{7AC91DD0-CAD5-484A-A943-8668AD54DAB9}"/>
  </w:font>
  <w:font w:name="方正黑体_GBK">
    <w:altName w:val="微软雅黑"/>
    <w:panose1 w:val="03000509000000000000"/>
    <w:charset w:val="86"/>
    <w:family w:val="script"/>
    <w:pitch w:val="default"/>
    <w:sig w:usb0="00000000" w:usb1="00000000" w:usb2="00000000" w:usb3="00000000" w:csb0="00040000" w:csb1="00000000"/>
    <w:embedRegular r:id="rId8" w:fontKey="{5BB0E398-1327-4B2D-9133-D0CEE67263D9}"/>
  </w:font>
  <w:font w:name="楷体_GB2312">
    <w:panose1 w:val="02010609030101010101"/>
    <w:charset w:val="86"/>
    <w:family w:val="modern"/>
    <w:pitch w:val="default"/>
    <w:sig w:usb0="00000001" w:usb1="080E0000" w:usb2="00000000" w:usb3="00000000" w:csb0="00040000" w:csb1="00000000"/>
    <w:embedRegular r:id="rId9" w:fontKey="{074C2852-1E65-4DE9-B55E-E094C7C78D4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4B7727C"/>
    <w:rsid w:val="20661559"/>
    <w:rsid w:val="470228D9"/>
    <w:rsid w:val="6AC13047"/>
    <w:rsid w:val="73BA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character" w:customStyle="1" w:styleId="7">
    <w:name w:val="font1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2023-10-29T02:51:00Z</dcterms:created>
  <dc:creator>Administrator</dc:creator>
  <cp:lastModifiedBy>淡定</cp:lastModifiedBy>
  <dcterms:modified xsi:type="dcterms:W3CDTF">2023-10-29T07:52:14Z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A7CD6D93F74F49F7B76F1ECC2FA214CA_12</vt:lpwstr>
  </property>
</Properties>
</file>