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Spec="center" w:tblpY="228"/>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4" w:hRule="atLeast"/>
          <w:jc w:val="center"/>
        </w:trPr>
        <w:tc>
          <w:tcPr>
            <w:tcW w:w="5000" w:type="pct"/>
          </w:tcPr>
          <w:p>
            <w:pPr>
              <w:spacing w:line="720" w:lineRule="auto"/>
              <w:rPr>
                <w:rFonts w:ascii="Times New Roman" w:hAnsi="Times New Roman"/>
                <w:b/>
                <w:bCs/>
                <w:sz w:val="44"/>
                <w:szCs w:val="48"/>
              </w:rPr>
            </w:pPr>
          </w:p>
          <w:p>
            <w:pPr>
              <w:pStyle w:val="2"/>
              <w:keepNext w:val="0"/>
              <w:keepLines w:val="0"/>
              <w:spacing w:before="60" w:beforeLines="-2147483648" w:beforeAutospacing="1" w:afterLines="-2147483648" w:afterAutospacing="1" w:line="240" w:lineRule="auto"/>
              <w:rPr>
                <w:rFonts w:hint="eastAsia" w:ascii="宋体" w:hAnsi="宋体" w:eastAsia="黑体"/>
                <w:b/>
                <w:bCs/>
                <w:sz w:val="44"/>
                <w:szCs w:val="48"/>
              </w:rPr>
            </w:pPr>
            <w:r>
              <w:rPr>
                <w:rFonts w:hint="eastAsia" w:ascii="宋体" w:hAnsi="宋体" w:eastAsia="黑体"/>
                <w:b/>
                <w:bCs/>
                <w:sz w:val="44"/>
                <w:szCs w:val="48"/>
              </w:rPr>
              <w:t>高等教育自学考试</w:t>
            </w:r>
          </w:p>
          <w:p>
            <w:pPr>
              <w:pStyle w:val="2"/>
              <w:keepNext w:val="0"/>
              <w:keepLines w:val="0"/>
              <w:spacing w:before="60" w:beforeLines="-2147483648" w:beforeAutospacing="1" w:afterLines="-2147483648" w:afterAutospacing="1" w:line="240" w:lineRule="auto"/>
              <w:rPr>
                <w:rFonts w:hint="eastAsia" w:ascii="宋体" w:hAnsi="宋体" w:eastAsia="黑体"/>
                <w:b/>
                <w:bCs/>
                <w:sz w:val="44"/>
                <w:szCs w:val="48"/>
              </w:rPr>
            </w:pPr>
            <w:r>
              <w:rPr>
                <w:rFonts w:hint="eastAsia" w:ascii="宋体" w:hAnsi="宋体" w:eastAsia="黑体"/>
                <w:b/>
                <w:bCs/>
                <w:sz w:val="44"/>
                <w:szCs w:val="48"/>
              </w:rPr>
              <w:t>财务管理（专升本）专业考试计划</w:t>
            </w:r>
          </w:p>
          <w:p>
            <w:pPr>
              <w:spacing w:afterLines="200"/>
              <w:rPr>
                <w:rFonts w:ascii="Times New Roman" w:hAnsi="Times New Roman"/>
                <w:szCs w:val="36"/>
              </w:rPr>
            </w:pPr>
          </w:p>
          <w:p>
            <w:pPr>
              <w:spacing w:afterLines="200"/>
              <w:rPr>
                <w:rFonts w:ascii="Times New Roman" w:hAnsi="Times New Roman"/>
                <w:szCs w:val="36"/>
              </w:rPr>
            </w:pPr>
          </w:p>
          <w:p>
            <w:pPr>
              <w:autoSpaceDE w:val="0"/>
              <w:autoSpaceDN w:val="0"/>
              <w:jc w:val="center"/>
              <w:rPr>
                <w:rFonts w:hint="eastAsia" w:ascii="方正仿宋_GBK" w:hAnsi="方正仿宋_GBK" w:eastAsia="黑体" w:cs="方正仿宋_GBK"/>
                <w:kern w:val="0"/>
                <w:sz w:val="36"/>
                <w:szCs w:val="22"/>
                <w:lang w:val="zh-CN"/>
              </w:rPr>
            </w:pPr>
            <w:r>
              <w:rPr>
                <w:rFonts w:hint="eastAsia" w:ascii="方正仿宋_GBK" w:hAnsi="方正仿宋_GBK" w:eastAsia="黑体" w:cs="方正仿宋_GBK"/>
                <w:kern w:val="0"/>
                <w:sz w:val="36"/>
                <w:szCs w:val="22"/>
                <w:lang w:val="zh-CN"/>
              </w:rPr>
              <w:t>主考学校：西南财经大学</w:t>
            </w:r>
          </w:p>
          <w:p>
            <w:pPr>
              <w:spacing w:afterLines="200"/>
              <w:rPr>
                <w:rFonts w:ascii="Times New Roman" w:hAnsi="Times New Roman"/>
                <w:szCs w:val="36"/>
              </w:rPr>
            </w:pPr>
          </w:p>
          <w:p>
            <w:pPr>
              <w:spacing w:afterLines="200"/>
              <w:rPr>
                <w:rFonts w:ascii="Times New Roman" w:hAnsi="Times New Roman"/>
                <w:b/>
                <w:bCs/>
                <w:sz w:val="32"/>
                <w:szCs w:val="32"/>
              </w:rPr>
            </w:pPr>
          </w:p>
          <w:p>
            <w:pPr>
              <w:spacing w:afterLines="200"/>
              <w:rPr>
                <w:rFonts w:ascii="Times New Roman" w:hAnsi="Times New Roman"/>
                <w:b/>
                <w:bCs/>
                <w:sz w:val="32"/>
                <w:szCs w:val="32"/>
              </w:rPr>
            </w:pPr>
          </w:p>
          <w:p>
            <w:pPr>
              <w:pStyle w:val="4"/>
              <w:rPr>
                <w:rFonts w:ascii="Times New Roman" w:hAnsi="Times New Roman" w:eastAsia="黑体"/>
                <w:b/>
                <w:bCs/>
                <w:sz w:val="32"/>
                <w:szCs w:val="32"/>
              </w:rPr>
            </w:pPr>
          </w:p>
          <w:p>
            <w:pPr>
              <w:pStyle w:val="4"/>
              <w:rPr>
                <w:rFonts w:ascii="Times New Roman" w:hAnsi="Times New Roman" w:eastAsia="黑体"/>
                <w:b/>
                <w:bCs/>
                <w:sz w:val="32"/>
                <w:szCs w:val="32"/>
              </w:rPr>
            </w:pPr>
          </w:p>
          <w:p>
            <w:pPr>
              <w:pStyle w:val="3"/>
              <w:autoSpaceDE w:val="0"/>
              <w:autoSpaceDN w:val="0"/>
              <w:jc w:val="center"/>
              <w:rPr>
                <w:rFonts w:hint="eastAsia" w:eastAsia="黑体" w:cs="方正仿宋_GBK"/>
                <w:kern w:val="0"/>
                <w:szCs w:val="22"/>
                <w:lang w:val="zh-CN"/>
              </w:rPr>
            </w:pPr>
            <w:r>
              <w:rPr>
                <w:rFonts w:hint="eastAsia" w:eastAsia="黑体" w:cs="方正仿宋_GBK"/>
                <w:kern w:val="0"/>
                <w:szCs w:val="22"/>
                <w:lang w:val="zh-CN"/>
              </w:rPr>
              <w:t>四川省高等教育招生考试委员会</w:t>
            </w:r>
          </w:p>
          <w:p>
            <w:pPr>
              <w:pStyle w:val="3"/>
              <w:autoSpaceDE w:val="0"/>
              <w:autoSpaceDN w:val="0"/>
              <w:jc w:val="center"/>
              <w:rPr>
                <w:rFonts w:hint="eastAsia" w:eastAsia="黑体" w:cs="方正仿宋_GBK"/>
                <w:kern w:val="0"/>
                <w:szCs w:val="22"/>
                <w:lang w:val="zh-CN"/>
              </w:rPr>
            </w:pPr>
            <w:r>
              <w:rPr>
                <w:rFonts w:hint="eastAsia" w:eastAsia="黑体" w:cs="方正仿宋_GBK"/>
                <w:kern w:val="0"/>
                <w:szCs w:val="22"/>
                <w:lang w:val="zh-CN"/>
              </w:rPr>
              <w:t>2023年</w:t>
            </w:r>
            <w:r>
              <w:rPr>
                <w:rFonts w:hint="eastAsia" w:eastAsia="黑体" w:cs="方正仿宋_GBK"/>
                <w:kern w:val="0"/>
                <w:szCs w:val="22"/>
                <w:lang w:val="en-US"/>
              </w:rPr>
              <w:t>10月制定</w:t>
            </w:r>
          </w:p>
          <w:p>
            <w:pPr>
              <w:spacing w:line="520" w:lineRule="exact"/>
              <w:rPr>
                <w:rFonts w:ascii="Times New Roman" w:hAnsi="Times New Roman" w:eastAsia="微软雅黑"/>
                <w:b/>
                <w:bCs/>
                <w:sz w:val="30"/>
                <w:szCs w:val="30"/>
              </w:rPr>
            </w:pPr>
          </w:p>
          <w:p>
            <w:pPr>
              <w:pStyle w:val="4"/>
              <w:rPr>
                <w:rFonts w:ascii="Times New Roman" w:hAnsi="Times New Roman" w:eastAsia="微软雅黑"/>
                <w:b/>
                <w:bCs/>
                <w:sz w:val="30"/>
                <w:szCs w:val="30"/>
              </w:rPr>
            </w:pPr>
          </w:p>
          <w:p>
            <w:pPr>
              <w:pStyle w:val="4"/>
              <w:rPr>
                <w:rFonts w:ascii="Times New Roman" w:hAnsi="Times New Roman" w:eastAsia="微软雅黑"/>
                <w:b/>
                <w:bCs/>
                <w:sz w:val="30"/>
                <w:szCs w:val="30"/>
              </w:rPr>
            </w:pPr>
          </w:p>
          <w:p>
            <w:pPr>
              <w:adjustRightInd w:val="0"/>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一、指导思想</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高等教育自学考试是我国高等教育基本制度之一，是对社会自学者进行的以学历考试为主的高等教育国家考试，是个人自学、社会助学、国家考试相结合的高等教育形式，也是我国高等教育体系的重要组成部分。</w:t>
            </w:r>
          </w:p>
          <w:p>
            <w:pPr>
              <w:pStyle w:val="4"/>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结合高等教育自学考试的特点，以立德树人为根本任务，塑造考生社会主义核心价值观、人生观和世界观。以马克思列宁主义、毛泽东思想、邓小平理论、“三个代表”重要思想、</w:t>
            </w:r>
            <w:r>
              <w:rPr>
                <w:rFonts w:hint="eastAsia" w:ascii="仿宋_GB2312" w:hAnsi="仿宋_GB2312" w:eastAsia="仿宋_GB2312" w:cs="仿宋_GB2312"/>
                <w:color w:val="000000"/>
                <w:sz w:val="28"/>
                <w:szCs w:val="28"/>
                <w:lang w:eastAsia="zh-CN"/>
              </w:rPr>
              <w:t>科学发展观、习近平新时代</w:t>
            </w:r>
            <w:r>
              <w:rPr>
                <w:rFonts w:hint="eastAsia" w:ascii="仿宋_GB2312" w:hAnsi="仿宋_GB2312" w:eastAsia="仿宋_GB2312" w:cs="仿宋_GB2312"/>
                <w:color w:val="000000"/>
                <w:sz w:val="28"/>
                <w:szCs w:val="28"/>
              </w:rPr>
              <w:t>中国特色社会主义思想为指导思想铸魂育人，以适应新时代中国特色社会主义市场经济建设需要和适应学生个体发展需求为导向，构建专业课程考试体系，着力培养具有良好的思想政治素质、社会责任感，具有良好的职业道德和服务社会精神的社会主义建设者和接班人。</w:t>
            </w:r>
          </w:p>
          <w:p>
            <w:pPr>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二、学历层次及规格</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高等教育自学考试财务管理（专升本）专业的学历层次为本科，学科门类为管理学，专业类别为工商管理类。</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本专业考试计划规定合格课程门数</w:t>
            </w:r>
            <w:r>
              <w:rPr>
                <w:rFonts w:ascii="仿宋_GB2312" w:hAnsi="仿宋_GB2312" w:eastAsia="仿宋_GB2312" w:cs="仿宋_GB2312"/>
                <w:color w:val="000000"/>
                <w:sz w:val="28"/>
                <w:szCs w:val="28"/>
              </w:rPr>
              <w:t>14</w:t>
            </w:r>
            <w:r>
              <w:rPr>
                <w:rFonts w:hint="eastAsia" w:ascii="仿宋_GB2312" w:hAnsi="仿宋_GB2312" w:eastAsia="仿宋_GB2312" w:cs="仿宋_GB2312"/>
                <w:color w:val="000000"/>
                <w:sz w:val="28"/>
                <w:szCs w:val="28"/>
              </w:rPr>
              <w:t>门（其中考试课程相关的实践考核环节部分不单独计入课程总门数）</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总学分</w:t>
            </w:r>
            <w:r>
              <w:rPr>
                <w:rFonts w:ascii="仿宋_GB2312" w:hAnsi="仿宋_GB2312" w:eastAsia="仿宋_GB2312" w:cs="仿宋_GB2312"/>
                <w:color w:val="000000"/>
                <w:sz w:val="28"/>
                <w:szCs w:val="28"/>
              </w:rPr>
              <w:t>72</w:t>
            </w:r>
            <w:r>
              <w:rPr>
                <w:rFonts w:hint="eastAsia" w:ascii="仿宋_GB2312" w:hAnsi="仿宋_GB2312" w:eastAsia="仿宋_GB2312" w:cs="仿宋_GB2312"/>
                <w:color w:val="000000"/>
                <w:sz w:val="28"/>
                <w:szCs w:val="28"/>
              </w:rPr>
              <w:t>学分。</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凡按照本专业考试计划的规定，取得相应课程合格成绩且达到规定学分要求，毕业环节和实践性环节考核合格，思想品德经鉴定符合要求者，经审核通过，由四川省高等教育招生考试委员会颁发财务管理（专升本）专业毕业证书，主考学校副署，国家承认学历。符合高等学历继续教育学士学位授予条件者，由主考学校按规定授予学士学位。</w:t>
            </w:r>
          </w:p>
          <w:p>
            <w:pPr>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三、培养目标与基本要求</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培养目标：本专业培养理想信念坚定，德、智、体、美、劳全面发展，具有较高的科学文化素养、职业道德水准、创新创业能力和社会责任感，适应社会和经济发展需要，具备经济、管理、法律及财务管理的基本知识和基本能力，掌握财务管理的业务知识与专业技能，能够在工商企业、金融企业、中介机构、政府机构、事业单位及其他相关部门从事财务管理及其相关工作的应用型专门人才。</w:t>
            </w:r>
          </w:p>
          <w:p>
            <w:pPr>
              <w:pStyle w:val="4"/>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基本要求：本专业要求掌握财务管理学的基本理论和基本知识，掌握财务分析、投资与金融管理的基本方法和基本技能，具有分析和解决财务问题的实际应用能力。主要包括：</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掌握财务管理学、经济学、管理学的基本理论和基本知识；</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掌握财务管理文献检索、资料查询、计量分析的基本技术和方法；</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具有较强的语言与文字表达、人际沟通、信息获取能力，以及分析和解决财务管理实际问题的基本能力；</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熟悉国内外有关财务、金融管理领域的方针政策和法律法规；</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了解财务管理的理论前沿、应用前景、发展动态、行业需求；</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rPr>
              <w:t>具有一定的财务管理学领域科学研究和实际工作能力，满足财务管理行业的工作需求；</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rPr>
              <w:t>具备较强</w:t>
            </w:r>
            <w:r>
              <w:rPr>
                <w:rFonts w:hint="eastAsia" w:ascii="仿宋_GB2312" w:hAnsi="仿宋_GB2312" w:eastAsia="仿宋_GB2312" w:cs="仿宋_GB2312"/>
                <w:color w:val="000000"/>
                <w:sz w:val="28"/>
                <w:szCs w:val="28"/>
                <w:lang w:eastAsia="zh-CN"/>
              </w:rPr>
              <w:t>的</w:t>
            </w:r>
            <w:r>
              <w:rPr>
                <w:rFonts w:hint="eastAsia" w:ascii="仿宋_GB2312" w:hAnsi="仿宋_GB2312" w:eastAsia="仿宋_GB2312" w:cs="仿宋_GB2312"/>
                <w:color w:val="000000"/>
                <w:sz w:val="28"/>
                <w:szCs w:val="28"/>
              </w:rPr>
              <w:t>对新知识、新技能的学习能力和一定的创新创业能力。</w:t>
            </w:r>
          </w:p>
          <w:p>
            <w:pPr>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四、课程设置与学分</w:t>
            </w:r>
          </w:p>
          <w:p>
            <w:pPr>
              <w:adjustRightInd w:val="0"/>
              <w:snapToGrid w:val="0"/>
              <w:spacing w:line="360" w:lineRule="auto"/>
              <w:ind w:firstLine="562" w:firstLineChars="200"/>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专业代码：</w:t>
            </w:r>
            <w:r>
              <w:rPr>
                <w:rFonts w:ascii="仿宋_GB2312" w:hAnsi="仿宋_GB2312" w:eastAsia="仿宋_GB2312" w:cs="仿宋_GB2312"/>
                <w:b/>
                <w:bCs/>
                <w:sz w:val="28"/>
                <w:szCs w:val="28"/>
              </w:rPr>
              <w:t>120204</w:t>
            </w:r>
          </w:p>
          <w:tbl>
            <w:tblPr>
              <w:tblStyle w:val="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788"/>
              <w:gridCol w:w="958"/>
              <w:gridCol w:w="843"/>
              <w:gridCol w:w="3301"/>
              <w:gridCol w:w="492"/>
              <w:gridCol w:w="826"/>
              <w:gridCol w:w="9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8"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课程类别</w:t>
                  </w:r>
                </w:p>
              </w:tc>
              <w:tc>
                <w:tcPr>
                  <w:tcW w:w="958"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序号</w:t>
                  </w:r>
                </w:p>
              </w:tc>
              <w:tc>
                <w:tcPr>
                  <w:tcW w:w="843"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课程</w:t>
                  </w:r>
                </w:p>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代码</w:t>
                  </w:r>
                </w:p>
              </w:tc>
              <w:tc>
                <w:tcPr>
                  <w:tcW w:w="3301"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课程名称</w:t>
                  </w:r>
                </w:p>
              </w:tc>
              <w:tc>
                <w:tcPr>
                  <w:tcW w:w="492"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学分</w:t>
                  </w:r>
                </w:p>
              </w:tc>
              <w:tc>
                <w:tcPr>
                  <w:tcW w:w="82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考试</w:t>
                  </w:r>
                </w:p>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方式</w:t>
                  </w:r>
                </w:p>
              </w:tc>
              <w:tc>
                <w:tcPr>
                  <w:tcW w:w="909"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8"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公</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共</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基</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础</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课</w:t>
                  </w:r>
                </w:p>
              </w:tc>
              <w:tc>
                <w:tcPr>
                  <w:tcW w:w="958"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w:t>
                  </w:r>
                </w:p>
              </w:tc>
              <w:tc>
                <w:tcPr>
                  <w:tcW w:w="843"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03708</w:t>
                  </w:r>
                </w:p>
              </w:tc>
              <w:tc>
                <w:tcPr>
                  <w:tcW w:w="3301"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中国近现代史纲要</w:t>
                  </w:r>
                </w:p>
              </w:tc>
              <w:tc>
                <w:tcPr>
                  <w:tcW w:w="492"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2</w:t>
                  </w:r>
                </w:p>
              </w:tc>
              <w:tc>
                <w:tcPr>
                  <w:tcW w:w="82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90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8"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958"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2</w:t>
                  </w:r>
                </w:p>
              </w:tc>
              <w:tc>
                <w:tcPr>
                  <w:tcW w:w="843"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03709</w:t>
                  </w:r>
                </w:p>
              </w:tc>
              <w:tc>
                <w:tcPr>
                  <w:tcW w:w="3301"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马克思主义基本原理概论</w:t>
                  </w:r>
                </w:p>
              </w:tc>
              <w:tc>
                <w:tcPr>
                  <w:tcW w:w="492"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4</w:t>
                  </w:r>
                </w:p>
              </w:tc>
              <w:tc>
                <w:tcPr>
                  <w:tcW w:w="82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90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8"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958"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3</w:t>
                  </w:r>
                </w:p>
              </w:tc>
              <w:tc>
                <w:tcPr>
                  <w:tcW w:w="843"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13000</w:t>
                  </w:r>
                </w:p>
              </w:tc>
              <w:tc>
                <w:tcPr>
                  <w:tcW w:w="3301"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英语（专升本）</w:t>
                  </w:r>
                </w:p>
              </w:tc>
              <w:tc>
                <w:tcPr>
                  <w:tcW w:w="492"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7</w:t>
                  </w:r>
                </w:p>
              </w:tc>
              <w:tc>
                <w:tcPr>
                  <w:tcW w:w="82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90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8"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958"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4</w:t>
                  </w:r>
                </w:p>
              </w:tc>
              <w:tc>
                <w:tcPr>
                  <w:tcW w:w="843"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04184</w:t>
                  </w:r>
                </w:p>
              </w:tc>
              <w:tc>
                <w:tcPr>
                  <w:tcW w:w="3301"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线性代数（经管类）</w:t>
                  </w:r>
                </w:p>
              </w:tc>
              <w:tc>
                <w:tcPr>
                  <w:tcW w:w="492"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4</w:t>
                  </w:r>
                </w:p>
              </w:tc>
              <w:tc>
                <w:tcPr>
                  <w:tcW w:w="82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90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8"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专</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业</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核</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心</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课</w:t>
                  </w:r>
                </w:p>
              </w:tc>
              <w:tc>
                <w:tcPr>
                  <w:tcW w:w="958"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5</w:t>
                  </w:r>
                </w:p>
              </w:tc>
              <w:tc>
                <w:tcPr>
                  <w:tcW w:w="843"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13887</w:t>
                  </w:r>
                </w:p>
              </w:tc>
              <w:tc>
                <w:tcPr>
                  <w:tcW w:w="3301"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经济学原理（中级）</w:t>
                  </w:r>
                </w:p>
              </w:tc>
              <w:tc>
                <w:tcPr>
                  <w:tcW w:w="492"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6</w:t>
                  </w:r>
                </w:p>
              </w:tc>
              <w:tc>
                <w:tcPr>
                  <w:tcW w:w="82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90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8"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958"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6</w:t>
                  </w:r>
                </w:p>
              </w:tc>
              <w:tc>
                <w:tcPr>
                  <w:tcW w:w="843"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13683</w:t>
                  </w:r>
                </w:p>
              </w:tc>
              <w:tc>
                <w:tcPr>
                  <w:tcW w:w="3301"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管理学原理（中级）</w:t>
                  </w:r>
                </w:p>
              </w:tc>
              <w:tc>
                <w:tcPr>
                  <w:tcW w:w="492"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6</w:t>
                  </w:r>
                </w:p>
              </w:tc>
              <w:tc>
                <w:tcPr>
                  <w:tcW w:w="82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90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8"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958"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7</w:t>
                  </w:r>
                </w:p>
              </w:tc>
              <w:tc>
                <w:tcPr>
                  <w:tcW w:w="843"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13140</w:t>
                  </w:r>
                </w:p>
              </w:tc>
              <w:tc>
                <w:tcPr>
                  <w:tcW w:w="3301"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财务会计（中级）</w:t>
                  </w:r>
                </w:p>
              </w:tc>
              <w:tc>
                <w:tcPr>
                  <w:tcW w:w="492"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6</w:t>
                  </w:r>
                </w:p>
              </w:tc>
              <w:tc>
                <w:tcPr>
                  <w:tcW w:w="82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90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8"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958"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8</w:t>
                  </w:r>
                </w:p>
              </w:tc>
              <w:tc>
                <w:tcPr>
                  <w:tcW w:w="843"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00207</w:t>
                  </w:r>
                </w:p>
              </w:tc>
              <w:tc>
                <w:tcPr>
                  <w:tcW w:w="3301"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高级财务管理</w:t>
                  </w:r>
                </w:p>
              </w:tc>
              <w:tc>
                <w:tcPr>
                  <w:tcW w:w="492"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6</w:t>
                  </w:r>
                </w:p>
              </w:tc>
              <w:tc>
                <w:tcPr>
                  <w:tcW w:w="82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90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8"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958" w:type="dxa"/>
                  <w:tcBorders>
                    <w:top w:val="single" w:color="000000" w:sz="2"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9</w:t>
                  </w:r>
                </w:p>
              </w:tc>
              <w:tc>
                <w:tcPr>
                  <w:tcW w:w="843"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08119</w:t>
                  </w:r>
                </w:p>
              </w:tc>
              <w:tc>
                <w:tcPr>
                  <w:tcW w:w="3301"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管理会计</w:t>
                  </w:r>
                </w:p>
              </w:tc>
              <w:tc>
                <w:tcPr>
                  <w:tcW w:w="492"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5</w:t>
                  </w:r>
                </w:p>
              </w:tc>
              <w:tc>
                <w:tcPr>
                  <w:tcW w:w="82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90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8"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958" w:type="dxa"/>
                  <w:vMerge w:val="restart"/>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10</w:t>
                  </w:r>
                </w:p>
              </w:tc>
              <w:tc>
                <w:tcPr>
                  <w:tcW w:w="843"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13316</w:t>
                  </w:r>
                </w:p>
              </w:tc>
              <w:tc>
                <w:tcPr>
                  <w:tcW w:w="3301"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财务分析</w:t>
                  </w:r>
                </w:p>
              </w:tc>
              <w:tc>
                <w:tcPr>
                  <w:tcW w:w="492"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3</w:t>
                  </w:r>
                </w:p>
              </w:tc>
              <w:tc>
                <w:tcPr>
                  <w:tcW w:w="82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90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8" w:type="dxa"/>
                  <w:vMerge w:val="continue"/>
                  <w:tcBorders>
                    <w:top w:val="single" w:color="000000" w:sz="2" w:space="0"/>
                    <w:left w:val="single" w:color="000000" w:sz="2" w:space="0"/>
                    <w:bottom w:val="single" w:color="auto" w:sz="4" w:space="0"/>
                    <w:right w:val="single" w:color="000000" w:sz="2" w:space="0"/>
                  </w:tcBorders>
                  <w:vAlign w:val="center"/>
                </w:tcPr>
                <w:p>
                  <w:pPr>
                    <w:snapToGrid w:val="0"/>
                    <w:rPr>
                      <w:rFonts w:ascii="仿宋_GB2312" w:hAnsi="仿宋_GB2312" w:eastAsia="仿宋_GB2312" w:cs="仿宋_GB2312"/>
                      <w:bCs/>
                      <w:sz w:val="24"/>
                      <w:szCs w:val="24"/>
                    </w:rPr>
                  </w:pPr>
                </w:p>
              </w:tc>
              <w:tc>
                <w:tcPr>
                  <w:tcW w:w="958" w:type="dxa"/>
                  <w:vMerge w:val="continue"/>
                  <w:tcBorders>
                    <w:top w:val="single" w:color="000000" w:sz="2" w:space="0"/>
                    <w:left w:val="single" w:color="000000" w:sz="2" w:space="0"/>
                    <w:bottom w:val="single" w:color="auto" w:sz="4" w:space="0"/>
                    <w:right w:val="single" w:color="000000" w:sz="2" w:space="0"/>
                  </w:tcBorders>
                  <w:vAlign w:val="center"/>
                </w:tcPr>
                <w:p>
                  <w:pPr>
                    <w:adjustRightInd w:val="0"/>
                    <w:snapToGrid w:val="0"/>
                    <w:rPr>
                      <w:rFonts w:ascii="仿宋_GB2312" w:hAnsi="仿宋_GB2312" w:eastAsia="仿宋_GB2312" w:cs="仿宋_GB2312"/>
                      <w:bCs/>
                      <w:sz w:val="24"/>
                      <w:szCs w:val="24"/>
                    </w:rPr>
                  </w:pPr>
                </w:p>
              </w:tc>
              <w:tc>
                <w:tcPr>
                  <w:tcW w:w="843"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13317</w:t>
                  </w:r>
                </w:p>
              </w:tc>
              <w:tc>
                <w:tcPr>
                  <w:tcW w:w="3301"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财务分析（实践）</w:t>
                  </w:r>
                </w:p>
              </w:tc>
              <w:tc>
                <w:tcPr>
                  <w:tcW w:w="492"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2</w:t>
                  </w:r>
                </w:p>
              </w:tc>
              <w:tc>
                <w:tcPr>
                  <w:tcW w:w="82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实践</w:t>
                  </w:r>
                </w:p>
              </w:tc>
              <w:tc>
                <w:tcPr>
                  <w:tcW w:w="90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8"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专</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业</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拓</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展</w:t>
                  </w:r>
                </w:p>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课</w:t>
                  </w:r>
                </w:p>
              </w:tc>
              <w:tc>
                <w:tcPr>
                  <w:tcW w:w="958"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11</w:t>
                  </w:r>
                </w:p>
              </w:tc>
              <w:tc>
                <w:tcPr>
                  <w:tcW w:w="843"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12327</w:t>
                  </w:r>
                </w:p>
              </w:tc>
              <w:tc>
                <w:tcPr>
                  <w:tcW w:w="3301"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金融理财规划</w:t>
                  </w:r>
                </w:p>
              </w:tc>
              <w:tc>
                <w:tcPr>
                  <w:tcW w:w="492"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6</w:t>
                  </w:r>
                </w:p>
              </w:tc>
              <w:tc>
                <w:tcPr>
                  <w:tcW w:w="82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90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8"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958"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12</w:t>
                  </w:r>
                </w:p>
              </w:tc>
              <w:tc>
                <w:tcPr>
                  <w:tcW w:w="843"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01790</w:t>
                  </w:r>
                </w:p>
              </w:tc>
              <w:tc>
                <w:tcPr>
                  <w:tcW w:w="3301"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财经法规与会计职业道德</w:t>
                  </w:r>
                </w:p>
              </w:tc>
              <w:tc>
                <w:tcPr>
                  <w:tcW w:w="492"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5</w:t>
                  </w:r>
                </w:p>
              </w:tc>
              <w:tc>
                <w:tcPr>
                  <w:tcW w:w="82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90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8"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958"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13</w:t>
                  </w:r>
                </w:p>
              </w:tc>
              <w:tc>
                <w:tcPr>
                  <w:tcW w:w="843"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14033</w:t>
                  </w:r>
                </w:p>
              </w:tc>
              <w:tc>
                <w:tcPr>
                  <w:tcW w:w="3301"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内部控制与风险管理</w:t>
                  </w:r>
                </w:p>
              </w:tc>
              <w:tc>
                <w:tcPr>
                  <w:tcW w:w="492"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5</w:t>
                  </w:r>
                </w:p>
              </w:tc>
              <w:tc>
                <w:tcPr>
                  <w:tcW w:w="82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90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8"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958"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14</w:t>
                  </w:r>
                </w:p>
              </w:tc>
              <w:tc>
                <w:tcPr>
                  <w:tcW w:w="843"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00103</w:t>
                  </w:r>
                </w:p>
              </w:tc>
              <w:tc>
                <w:tcPr>
                  <w:tcW w:w="3301"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证券投资学</w:t>
                  </w:r>
                </w:p>
              </w:tc>
              <w:tc>
                <w:tcPr>
                  <w:tcW w:w="492"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5</w:t>
                  </w:r>
                </w:p>
              </w:tc>
              <w:tc>
                <w:tcPr>
                  <w:tcW w:w="82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90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8"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958"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15</w:t>
                  </w:r>
                </w:p>
              </w:tc>
              <w:tc>
                <w:tcPr>
                  <w:tcW w:w="843"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11715</w:t>
                  </w:r>
                </w:p>
              </w:tc>
              <w:tc>
                <w:tcPr>
                  <w:tcW w:w="3301"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职业生涯发展与规划</w:t>
                  </w:r>
                </w:p>
              </w:tc>
              <w:tc>
                <w:tcPr>
                  <w:tcW w:w="492"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6</w:t>
                  </w:r>
                </w:p>
              </w:tc>
              <w:tc>
                <w:tcPr>
                  <w:tcW w:w="82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909" w:type="dxa"/>
                  <w:vMerge w:val="restart"/>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免考英语（专升本）替换课程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8"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958"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16</w:t>
                  </w:r>
                </w:p>
              </w:tc>
              <w:tc>
                <w:tcPr>
                  <w:tcW w:w="843"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06385</w:t>
                  </w:r>
                </w:p>
              </w:tc>
              <w:tc>
                <w:tcPr>
                  <w:tcW w:w="3301"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网络信息检索与利用</w:t>
                  </w:r>
                </w:p>
              </w:tc>
              <w:tc>
                <w:tcPr>
                  <w:tcW w:w="492"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4</w:t>
                  </w:r>
                </w:p>
              </w:tc>
              <w:tc>
                <w:tcPr>
                  <w:tcW w:w="82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笔试</w:t>
                  </w:r>
                </w:p>
              </w:tc>
              <w:tc>
                <w:tcPr>
                  <w:tcW w:w="909" w:type="dxa"/>
                  <w:vMerge w:val="continue"/>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788"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c>
                <w:tcPr>
                  <w:tcW w:w="958"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lang w:val="en-US"/>
                    </w:rPr>
                  </w:pPr>
                  <w:r>
                    <w:rPr>
                      <w:rFonts w:ascii="仿宋_GB2312" w:hAnsi="仿宋_GB2312" w:eastAsia="仿宋_GB2312" w:cs="仿宋_GB2312"/>
                      <w:bCs/>
                      <w:sz w:val="24"/>
                      <w:szCs w:val="24"/>
                      <w:lang w:val="en-US"/>
                    </w:rPr>
                    <w:t>17</w:t>
                  </w:r>
                </w:p>
              </w:tc>
              <w:tc>
                <w:tcPr>
                  <w:tcW w:w="843"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00000</w:t>
                  </w:r>
                </w:p>
              </w:tc>
              <w:tc>
                <w:tcPr>
                  <w:tcW w:w="3301"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毕业考核（或论文</w:t>
                  </w:r>
                  <w:r>
                    <w:rPr>
                      <w:rFonts w:ascii="仿宋_GB2312" w:hAnsi="仿宋_GB2312" w:eastAsia="仿宋_GB2312" w:cs="仿宋_GB2312"/>
                      <w:bCs/>
                      <w:sz w:val="24"/>
                      <w:szCs w:val="24"/>
                    </w:rPr>
                    <w:t>\</w:t>
                  </w:r>
                  <w:r>
                    <w:rPr>
                      <w:rFonts w:hint="eastAsia" w:ascii="仿宋_GB2312" w:hAnsi="仿宋_GB2312" w:eastAsia="仿宋_GB2312" w:cs="仿宋_GB2312"/>
                      <w:bCs/>
                      <w:sz w:val="24"/>
                      <w:szCs w:val="24"/>
                    </w:rPr>
                    <w:t>综合实践</w:t>
                  </w:r>
                  <w:r>
                    <w:rPr>
                      <w:rFonts w:ascii="仿宋_GB2312" w:hAnsi="仿宋_GB2312" w:eastAsia="仿宋_GB2312" w:cs="仿宋_GB2312"/>
                      <w:bCs/>
                      <w:sz w:val="24"/>
                      <w:szCs w:val="24"/>
                    </w:rPr>
                    <w:t>\</w:t>
                  </w:r>
                  <w:r>
                    <w:rPr>
                      <w:rFonts w:hint="eastAsia" w:ascii="仿宋_GB2312" w:hAnsi="仿宋_GB2312" w:eastAsia="仿宋_GB2312" w:cs="仿宋_GB2312"/>
                      <w:bCs/>
                      <w:sz w:val="24"/>
                      <w:szCs w:val="24"/>
                    </w:rPr>
                    <w:t>实验</w:t>
                  </w:r>
                  <w:r>
                    <w:rPr>
                      <w:rFonts w:ascii="仿宋_GB2312" w:hAnsi="仿宋_GB2312" w:eastAsia="仿宋_GB2312" w:cs="仿宋_GB2312"/>
                      <w:bCs/>
                      <w:sz w:val="24"/>
                      <w:szCs w:val="24"/>
                    </w:rPr>
                    <w:t>\</w:t>
                  </w:r>
                  <w:r>
                    <w:rPr>
                      <w:rFonts w:hint="eastAsia" w:ascii="仿宋_GB2312" w:hAnsi="仿宋_GB2312" w:eastAsia="仿宋_GB2312" w:cs="仿宋_GB2312"/>
                      <w:bCs/>
                      <w:sz w:val="24"/>
                      <w:szCs w:val="24"/>
                    </w:rPr>
                    <w:t>实习等）</w:t>
                  </w:r>
                </w:p>
              </w:tc>
              <w:tc>
                <w:tcPr>
                  <w:tcW w:w="492"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p>
              </w:tc>
              <w:tc>
                <w:tcPr>
                  <w:tcW w:w="826" w:type="dxa"/>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p>
              </w:tc>
              <w:tc>
                <w:tcPr>
                  <w:tcW w:w="909" w:type="dxa"/>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jc w:val="center"/>
              </w:trPr>
              <w:tc>
                <w:tcPr>
                  <w:tcW w:w="5890" w:type="dxa"/>
                  <w:gridSpan w:val="4"/>
                  <w:tcBorders>
                    <w:top w:val="single" w:color="000000" w:sz="2" w:space="0"/>
                    <w:left w:val="single" w:color="000000" w:sz="2" w:space="0"/>
                    <w:bottom w:val="single" w:color="000000" w:sz="2" w:space="0"/>
                    <w:right w:val="single" w:color="000000" w:sz="2" w:space="0"/>
                  </w:tcBorders>
                  <w:vAlign w:val="center"/>
                </w:tcPr>
                <w:p>
                  <w:pPr>
                    <w:adjustRightInd w:val="0"/>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总学分</w:t>
                  </w:r>
                </w:p>
              </w:tc>
              <w:tc>
                <w:tcPr>
                  <w:tcW w:w="2227" w:type="dxa"/>
                  <w:gridSpan w:val="3"/>
                  <w:tcBorders>
                    <w:top w:val="single" w:color="000000" w:sz="2" w:space="0"/>
                    <w:left w:val="single" w:color="000000" w:sz="2" w:space="0"/>
                    <w:bottom w:val="single" w:color="000000" w:sz="2" w:space="0"/>
                    <w:right w:val="single" w:color="000000" w:sz="2" w:space="0"/>
                  </w:tcBorders>
                  <w:vAlign w:val="center"/>
                </w:tcPr>
                <w:p>
                  <w:pPr>
                    <w:snapToGrid w:val="0"/>
                    <w:rPr>
                      <w:rFonts w:ascii="仿宋_GB2312" w:hAnsi="仿宋_GB2312" w:eastAsia="仿宋_GB2312" w:cs="仿宋_GB2312"/>
                      <w:bCs/>
                      <w:sz w:val="24"/>
                      <w:szCs w:val="24"/>
                    </w:rPr>
                  </w:pPr>
                  <w:r>
                    <w:rPr>
                      <w:rFonts w:ascii="仿宋_GB2312" w:hAnsi="仿宋_GB2312" w:eastAsia="仿宋_GB2312" w:cs="仿宋_GB2312"/>
                      <w:bCs/>
                      <w:sz w:val="24"/>
                      <w:szCs w:val="24"/>
                    </w:rPr>
                    <w:t>72</w:t>
                  </w:r>
                </w:p>
              </w:tc>
            </w:tr>
          </w:tbl>
          <w:p>
            <w:pPr>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五、主要课程说明</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高级财务管理</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课程主要内容是以经典财务理论为基础，力求在吸收最新财务管理思维和实务的同时，结合当前知识经济、经济全球化、互联网、大数据等背景，紧扣我国财务管理实践经验，全面、系统地讲解和论述了目前学术界对高级财务管理体系、框架和内容的基本共识。包括：高级财务管理导论，企业价值评估、管理与创造，企业业绩评价，财务治理理论，财务战略，行为财务理论，公司治理，财务预警与风险管理，企业并购，国际财务管理，企业集团财务管理等内容。此外，课程各章节均提供相关案例，密切结合当前财务管理实践，使得本课程更贴近现实且具有可操作性。</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财务分析</w:t>
            </w:r>
          </w:p>
          <w:p>
            <w:pPr>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本课程主要内容是让学生了解财务报告分析的内容、程序和基本方法，了解四张主表的概念、性质、作用、结构，理解偿债能力、营运能力、盈利能力以及发展能力各项指标以及财务综合分析的方法，掌握四张主表的会计分析，掌握被粉饰报表识别的基本方法。通过本课程的学习，要求学生在系统了解财务会计报告编制规范的基础上，加深对财务会计报告的理解，了解企业财务分析体系，掌握财务分析的方法体系和指标体系，并能运用其对企业的筹资活动、投资活动、经营活动和分配活动的各个过程，企业盈利能力、营运能力、偿债能力和发展能力的各个方面以及企业综合能力进行全面分析，基本具备通过财务报表和财务报告评价过去和预测未来的能力。</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金融理财规划</w:t>
            </w:r>
          </w:p>
          <w:p>
            <w:pPr>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本课程主要内容</w:t>
            </w:r>
            <w:r>
              <w:rPr>
                <w:rFonts w:hint="eastAsia" w:ascii="仿宋_GB2312" w:hAnsi="仿宋_GB2312" w:eastAsia="仿宋_GB2312" w:cs="仿宋_GB2312"/>
                <w:color w:val="000000"/>
                <w:sz w:val="28"/>
                <w:szCs w:val="28"/>
                <w:lang w:eastAsia="zh-CN"/>
              </w:rPr>
              <w:t>是</w:t>
            </w:r>
            <w:r>
              <w:rPr>
                <w:rFonts w:hint="eastAsia" w:ascii="仿宋_GB2312" w:hAnsi="仿宋_GB2312" w:eastAsia="仿宋_GB2312" w:cs="仿宋_GB2312"/>
                <w:color w:val="000000"/>
                <w:sz w:val="28"/>
                <w:szCs w:val="28"/>
              </w:rPr>
              <w:t>基础的金融理财知识和财富管理中的投资、房产、子女教育金、退休和遗产规划等。通过本课程学习，使学生掌握基本的金融知识和专业的理财技能，可以帮助家庭和朋友实施财务诊断，针对一个理财事件或家庭生命周期</w:t>
            </w:r>
            <w:r>
              <w:rPr>
                <w:rFonts w:hint="eastAsia" w:ascii="仿宋_GB2312" w:hAnsi="仿宋_GB2312" w:eastAsia="仿宋_GB2312" w:cs="仿宋_GB2312"/>
                <w:color w:val="000000"/>
                <w:sz w:val="28"/>
                <w:szCs w:val="28"/>
                <w:lang w:eastAsia="zh-CN"/>
              </w:rPr>
              <w:t>制定</w:t>
            </w:r>
            <w:r>
              <w:rPr>
                <w:rFonts w:hint="eastAsia" w:ascii="仿宋_GB2312" w:hAnsi="仿宋_GB2312" w:eastAsia="仿宋_GB2312" w:cs="仿宋_GB2312"/>
                <w:color w:val="000000"/>
                <w:sz w:val="28"/>
                <w:szCs w:val="28"/>
              </w:rPr>
              <w:t>金融理财规划方案，增强对金融理财知识的学习和应用。</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4.</w:t>
            </w:r>
            <w:r>
              <w:rPr>
                <w:rFonts w:hint="eastAsia" w:ascii="仿宋_GB2312" w:hAnsi="仿宋_GB2312" w:eastAsia="仿宋_GB2312" w:cs="仿宋_GB2312"/>
                <w:color w:val="000000"/>
                <w:sz w:val="28"/>
                <w:szCs w:val="28"/>
              </w:rPr>
              <w:t>财经法规与会计职业道德</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课程主要内容是以培养应用型会计人才为导向，注重学用结合、理论联系实际，强调会计法律制度、结算法律制度、税收法律制度、财政法律制度、会计职业道德等知识的掌握，致力于提高经管类专业学生的基本专业素养，提高学生对会计岗位的实际处理能力，规范会计工作行为，提高对会计业务、支付结算、税务、政府采购等财经业务的合法性判断以及法律后果的预判能力，培养良好的会计职业道德，为从事财务会计工作打下坚实的基础。</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5.</w:t>
            </w:r>
            <w:r>
              <w:rPr>
                <w:rFonts w:hint="eastAsia" w:ascii="仿宋_GB2312" w:hAnsi="仿宋_GB2312" w:eastAsia="仿宋_GB2312" w:cs="仿宋_GB2312"/>
                <w:color w:val="000000"/>
                <w:sz w:val="28"/>
                <w:szCs w:val="28"/>
              </w:rPr>
              <w:t>内部控制与风险管理</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课程主要内容是以理论知识学习和实际运用能力培养相结合，在尽可能吸取内部控制领域的最新研究和实践成果的基础上，关注中国企业实际，切入企业实际经营管理层面，教学中强调逻辑清晰，重点突出，学以致用，使学生系统学习和了解内部控制的基本理论、基本原理和基本方法，提高学生发现、分析和解决企业各类战略决策问题的能力。</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6.</w:t>
            </w:r>
            <w:r>
              <w:rPr>
                <w:rFonts w:hint="eastAsia" w:ascii="仿宋_GB2312" w:hAnsi="仿宋_GB2312" w:eastAsia="仿宋_GB2312" w:cs="仿宋_GB2312"/>
                <w:color w:val="000000"/>
                <w:sz w:val="28"/>
                <w:szCs w:val="28"/>
              </w:rPr>
              <w:t>证券投资学</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课程主要内容是以阐述证券投资学的基本原理为主，兼顾部分证券投资实务。课程共分为三个部分，第一部分讲解基础知识，系统讲述关于证券投资工具、证券市场和资产定价的一般性基础知识。这是深入进行资本市场领域研究和证券投资研究所必需的基本知识。第二部分讲解投资分析，系统讲述证券投资的宏观经济分析、产业分析、公司财务分析和公司价值分析等内容。第三部分讲解组合管理，系统讲述证券组合管理、投资组合管理业绩评价等内容。课程在结构设计上，力求体系完整、内容精练，注重对学生基本金融理论、基本投资技能的培养，也关注学生投资能力的训练和实际操作。</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7.</w:t>
            </w:r>
            <w:r>
              <w:rPr>
                <w:rFonts w:hint="eastAsia" w:ascii="仿宋_GB2312" w:hAnsi="仿宋_GB2312" w:eastAsia="仿宋_GB2312" w:cs="仿宋_GB2312"/>
                <w:color w:val="000000"/>
                <w:sz w:val="28"/>
                <w:szCs w:val="28"/>
              </w:rPr>
              <w:t>职业生涯发展与规划</w:t>
            </w:r>
          </w:p>
          <w:p>
            <w:pPr>
              <w:snapToGrid w:val="0"/>
              <w:spacing w:line="360" w:lineRule="auto"/>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本课程主要内容是以帕森斯的工作三原则理论为基础，包含探索自我性格、兴趣、技能、价值观、工作世界等。通过本课程学习使学生了解职业生涯规划的具体内涵，通过清晰、多视角</w:t>
            </w:r>
            <w:r>
              <w:rPr>
                <w:rFonts w:hint="eastAsia" w:ascii="仿宋_GB2312" w:hAnsi="仿宋_GB2312" w:eastAsia="仿宋_GB2312" w:cs="仿宋_GB2312"/>
                <w:color w:val="000000"/>
                <w:sz w:val="28"/>
                <w:szCs w:val="28"/>
                <w:lang w:eastAsia="zh-CN"/>
              </w:rPr>
              <w:t>地</w:t>
            </w:r>
            <w:r>
              <w:rPr>
                <w:rFonts w:hint="eastAsia" w:ascii="仿宋_GB2312" w:hAnsi="仿宋_GB2312" w:eastAsia="仿宋_GB2312" w:cs="仿宋_GB2312"/>
                <w:color w:val="000000"/>
                <w:sz w:val="28"/>
                <w:szCs w:val="28"/>
              </w:rPr>
              <w:t>认识自我世界和外部世界，初步形成职业目标，做好职业准备，提升生涯决策力和生涯行动力。</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8.</w:t>
            </w:r>
            <w:r>
              <w:rPr>
                <w:rFonts w:hint="eastAsia" w:ascii="仿宋_GB2312" w:hAnsi="仿宋_GB2312" w:eastAsia="仿宋_GB2312" w:cs="仿宋_GB2312"/>
                <w:color w:val="000000"/>
                <w:sz w:val="28"/>
                <w:szCs w:val="28"/>
              </w:rPr>
              <w:t>网络信息检索与利用</w:t>
            </w:r>
          </w:p>
          <w:p>
            <w:pPr>
              <w:snapToGrid w:val="0"/>
              <w:spacing w:line="36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课程主要内容是以文献资源及管理、文献检索、文献分析、文献利用以及学术规范五个方面。通过本课程不同类型信息资源检索方法的学习，使学生能够掌握并利用网络检索技术获取经济文献和信息，并对经济文献和信息进行研究、吸收与转化，培养学生的信息检索能力、信息运用能力，提升学生的论文写作水平。</w:t>
            </w:r>
          </w:p>
          <w:p>
            <w:pPr>
              <w:pStyle w:val="4"/>
              <w:snapToGrid w:val="0"/>
              <w:spacing w:line="360" w:lineRule="auto"/>
              <w:ind w:firstLine="560" w:firstLineChars="200"/>
              <w:jc w:val="left"/>
              <w:rPr>
                <w:rFonts w:hint="eastAsia" w:ascii="仿宋_GB2312" w:hAnsi="仿宋_GB2312" w:eastAsia="仿宋_GB2312" w:cs="仿宋_GB2312"/>
                <w:color w:val="000000"/>
                <w:sz w:val="28"/>
                <w:szCs w:val="28"/>
                <w:lang w:eastAsia="zh-CN"/>
              </w:rPr>
            </w:pPr>
            <w:r>
              <w:rPr>
                <w:rFonts w:ascii="仿宋_GB2312" w:hAnsi="仿宋_GB2312" w:eastAsia="仿宋_GB2312" w:cs="仿宋_GB2312"/>
                <w:color w:val="000000"/>
                <w:sz w:val="28"/>
                <w:szCs w:val="28"/>
                <w:lang w:val="en-US"/>
              </w:rPr>
              <w:t>9</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全国统一命题考试课程（略）</w:t>
            </w:r>
            <w:r>
              <w:rPr>
                <w:rFonts w:hint="eastAsia" w:ascii="仿宋_GB2312" w:hAnsi="仿宋_GB2312" w:eastAsia="仿宋_GB2312" w:cs="仿宋_GB2312"/>
                <w:color w:val="000000"/>
                <w:sz w:val="28"/>
                <w:szCs w:val="28"/>
                <w:lang w:eastAsia="zh-CN"/>
              </w:rPr>
              <w:t>。</w:t>
            </w:r>
          </w:p>
          <w:p>
            <w:pPr>
              <w:pStyle w:val="4"/>
              <w:snapToGrid w:val="0"/>
              <w:spacing w:line="360" w:lineRule="auto"/>
              <w:ind w:firstLine="560" w:firstLineChars="200"/>
              <w:jc w:val="left"/>
              <w:rPr>
                <w:rFonts w:hint="eastAsia" w:ascii="仿宋_GB2312" w:hAnsi="仿宋_GB2312" w:eastAsia="仿宋_GB2312" w:cs="仿宋_GB2312"/>
                <w:color w:val="000000"/>
                <w:sz w:val="28"/>
                <w:szCs w:val="28"/>
                <w:lang w:eastAsia="zh-CN"/>
              </w:rPr>
            </w:pPr>
            <w:r>
              <w:rPr>
                <w:rFonts w:ascii="仿宋_GB2312" w:hAnsi="仿宋_GB2312" w:eastAsia="仿宋_GB2312" w:cs="仿宋_GB2312"/>
                <w:color w:val="000000"/>
                <w:sz w:val="28"/>
                <w:szCs w:val="28"/>
                <w:lang w:val="en-US"/>
              </w:rPr>
              <w:t>10</w:t>
            </w:r>
            <w:r>
              <w:rPr>
                <w:rFonts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rPr>
              <w:t>实践性学习环节课程（按主考学校要求执行）</w:t>
            </w:r>
            <w:r>
              <w:rPr>
                <w:rFonts w:hint="eastAsia" w:ascii="仿宋_GB2312" w:hAnsi="仿宋_GB2312" w:eastAsia="仿宋_GB2312" w:cs="仿宋_GB2312"/>
                <w:color w:val="000000"/>
                <w:sz w:val="28"/>
                <w:szCs w:val="28"/>
                <w:lang w:eastAsia="zh-CN"/>
              </w:rPr>
              <w:t>。</w:t>
            </w:r>
          </w:p>
          <w:p>
            <w:pPr>
              <w:adjustRightInd w:val="0"/>
              <w:snapToGrid w:val="0"/>
              <w:spacing w:line="360" w:lineRule="auto"/>
              <w:ind w:firstLine="562"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b/>
                <w:color w:val="000000"/>
                <w:sz w:val="28"/>
                <w:szCs w:val="28"/>
              </w:rPr>
              <w:t>六、实践性环节学习考核要求</w:t>
            </w:r>
          </w:p>
          <w:p>
            <w:pPr>
              <w:pStyle w:val="4"/>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含实践的课程及实践所占学分：财务分析</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学分。凡理论考试与实践环节考核两部分相结合的课程为一门课程，考生必须取得两个部分的合格成绩方能获得该门课程的学分。</w:t>
            </w:r>
          </w:p>
          <w:p>
            <w:pPr>
              <w:adjustRightInd w:val="0"/>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rPr>
              <w:t>毕业设计或</w:t>
            </w:r>
            <w:r>
              <w:rPr>
                <w:rFonts w:hint="eastAsia" w:ascii="仿宋_GB2312" w:hAnsi="仿宋_GB2312" w:eastAsia="仿宋_GB2312" w:cs="仿宋_GB2312"/>
                <w:color w:val="000000"/>
                <w:sz w:val="28"/>
                <w:szCs w:val="28"/>
              </w:rPr>
              <w:t>毕业论文。</w:t>
            </w:r>
          </w:p>
          <w:p>
            <w:pPr>
              <w:adjustRightInd w:val="0"/>
              <w:snapToGrid w:val="0"/>
              <w:spacing w:line="360" w:lineRule="auto"/>
              <w:ind w:firstLine="562" w:firstLineChars="200"/>
              <w:jc w:val="left"/>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七、其他必要的说明</w:t>
            </w:r>
          </w:p>
          <w:p>
            <w:pPr>
              <w:pStyle w:val="4"/>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1.</w:t>
            </w:r>
            <w:r>
              <w:rPr>
                <w:rFonts w:hint="eastAsia" w:ascii="仿宋_GB2312" w:hAnsi="仿宋_GB2312" w:eastAsia="仿宋_GB2312" w:cs="仿宋_GB2312"/>
                <w:color w:val="000000"/>
                <w:sz w:val="28"/>
                <w:szCs w:val="28"/>
              </w:rPr>
              <w:t>财政税务类、财务会计类专业专科毕业生均可直接报考本专业。</w:t>
            </w:r>
          </w:p>
          <w:p>
            <w:pPr>
              <w:pStyle w:val="4"/>
              <w:snapToGrid w:val="0"/>
              <w:spacing w:line="360" w:lineRule="auto"/>
              <w:ind w:firstLine="560" w:firstLineChars="200"/>
              <w:jc w:val="left"/>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其他专业专科毕业生也可报考本专业，但需要具有财务会计、财务管理等本专业所需的基础知识。</w:t>
            </w:r>
          </w:p>
          <w:p>
            <w:pPr>
              <w:snapToGrid w:val="0"/>
              <w:spacing w:line="360" w:lineRule="auto"/>
              <w:ind w:firstLine="560" w:firstLineChars="200"/>
              <w:jc w:val="left"/>
              <w:rPr>
                <w:rFonts w:ascii="仿宋_GB2312" w:hAnsi="仿宋_GB2312" w:eastAsia="仿宋_GB2312" w:cs="仿宋_GB2312"/>
                <w:sz w:val="28"/>
                <w:szCs w:val="28"/>
              </w:rPr>
            </w:pPr>
          </w:p>
          <w:p>
            <w:pPr>
              <w:pStyle w:val="4"/>
              <w:rPr>
                <w:rFonts w:ascii="Times New Roman" w:hAnsi="Times New Roman" w:eastAsia="微软雅黑"/>
                <w:b/>
                <w:bCs/>
                <w:sz w:val="30"/>
                <w:szCs w:val="30"/>
              </w:rPr>
            </w:pPr>
          </w:p>
        </w:tc>
      </w:tr>
    </w:tbl>
    <w:p>
      <w:pPr>
        <w:pStyle w:val="2"/>
        <w:bidi w:val="0"/>
        <w:rPr>
          <w:rFonts w:ascii="Times New Roman" w:hAnsi="Times New Roman"/>
        </w:rPr>
      </w:pPr>
      <w:r>
        <w:rPr>
          <w:rFonts w:hint="eastAsia" w:ascii="Times New Roman" w:hAnsi="Times New Roman"/>
        </w:rPr>
        <w:t>财务管理（专升本）专业课程设置与学分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156" w:afterLines="50" w:line="500" w:lineRule="exact"/>
        <w:ind w:firstLine="240" w:firstLineChars="100"/>
        <w:jc w:val="center"/>
        <w:textAlignment w:val="auto"/>
        <w:rPr>
          <w:rFonts w:hint="eastAsia" w:ascii="Times New Roman" w:hAnsi="Times New Roman" w:eastAsia="黑体" w:cs="黑体"/>
          <w:color w:val="auto"/>
          <w:kern w:val="0"/>
          <w:sz w:val="24"/>
          <w:szCs w:val="22"/>
        </w:rPr>
      </w:pPr>
      <w:r>
        <w:rPr>
          <w:rFonts w:hint="eastAsia" w:ascii="Times New Roman" w:hAnsi="Times New Roman" w:eastAsia="黑体" w:cs="黑体"/>
          <w:color w:val="auto"/>
          <w:kern w:val="0"/>
          <w:sz w:val="24"/>
          <w:szCs w:val="22"/>
        </w:rPr>
        <w:t xml:space="preserve">专业层次：专升本                              </w:t>
      </w:r>
      <w:r>
        <w:rPr>
          <w:rFonts w:hint="eastAsia" w:ascii="Times New Roman" w:hAnsi="Times New Roman" w:eastAsia="黑体" w:cs="黑体"/>
          <w:b w:val="0"/>
          <w:bCs w:val="0"/>
          <w:color w:val="auto"/>
          <w:kern w:val="0"/>
          <w:sz w:val="24"/>
          <w:szCs w:val="22"/>
        </w:rPr>
        <w:t xml:space="preserve">  专业代码：</w:t>
      </w:r>
      <w:r>
        <w:rPr>
          <w:rFonts w:hint="eastAsia" w:ascii="Times New Roman" w:hAnsi="Times New Roman" w:eastAsia="黑体" w:cs="黑体"/>
          <w:b w:val="0"/>
          <w:bCs w:val="0"/>
          <w:color w:val="auto"/>
          <w:sz w:val="24"/>
          <w:szCs w:val="28"/>
        </w:rPr>
        <w:t>120204</w:t>
      </w:r>
    </w:p>
    <w:tbl>
      <w:tblPr>
        <w:tblStyle w:val="5"/>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064"/>
        <w:gridCol w:w="4763"/>
        <w:gridCol w:w="810"/>
        <w:gridCol w:w="19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序号</w:t>
            </w:r>
          </w:p>
        </w:tc>
        <w:tc>
          <w:tcPr>
            <w:tcW w:w="5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课码</w:t>
            </w:r>
          </w:p>
        </w:tc>
        <w:tc>
          <w:tcPr>
            <w:tcW w:w="253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课程名称</w:t>
            </w:r>
          </w:p>
        </w:tc>
        <w:tc>
          <w:tcPr>
            <w:tcW w:w="43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学分</w:t>
            </w:r>
          </w:p>
        </w:tc>
        <w:tc>
          <w:tcPr>
            <w:tcW w:w="10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黑体" w:cs="黑体"/>
                <w:color w:val="auto"/>
                <w:kern w:val="0"/>
                <w:sz w:val="18"/>
                <w:szCs w:val="18"/>
              </w:rPr>
            </w:pPr>
            <w:r>
              <w:rPr>
                <w:rFonts w:hint="eastAsia" w:ascii="Times New Roman" w:hAnsi="Times New Roman" w:eastAsia="黑体" w:cs="黑体"/>
                <w:color w:val="auto"/>
                <w:kern w:val="0"/>
                <w:sz w:val="18"/>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w:t>
            </w:r>
          </w:p>
        </w:tc>
        <w:tc>
          <w:tcPr>
            <w:tcW w:w="5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04184</w:t>
            </w:r>
          </w:p>
        </w:tc>
        <w:tc>
          <w:tcPr>
            <w:tcW w:w="25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线性代数（经管类）</w:t>
            </w:r>
          </w:p>
        </w:tc>
        <w:tc>
          <w:tcPr>
            <w:tcW w:w="43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5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08119</w:t>
            </w:r>
          </w:p>
        </w:tc>
        <w:tc>
          <w:tcPr>
            <w:tcW w:w="25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管理会计</w:t>
            </w:r>
          </w:p>
        </w:tc>
        <w:tc>
          <w:tcPr>
            <w:tcW w:w="43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10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3</w:t>
            </w:r>
          </w:p>
        </w:tc>
        <w:tc>
          <w:tcPr>
            <w:tcW w:w="5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13000</w:t>
            </w:r>
          </w:p>
        </w:tc>
        <w:tc>
          <w:tcPr>
            <w:tcW w:w="25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英语（专升本）</w:t>
            </w:r>
          </w:p>
        </w:tc>
        <w:tc>
          <w:tcPr>
            <w:tcW w:w="43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7</w:t>
            </w:r>
          </w:p>
        </w:tc>
        <w:tc>
          <w:tcPr>
            <w:tcW w:w="10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5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13140</w:t>
            </w:r>
          </w:p>
        </w:tc>
        <w:tc>
          <w:tcPr>
            <w:tcW w:w="25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财务会计（中级）</w:t>
            </w:r>
          </w:p>
        </w:tc>
        <w:tc>
          <w:tcPr>
            <w:tcW w:w="43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5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13683</w:t>
            </w:r>
          </w:p>
        </w:tc>
        <w:tc>
          <w:tcPr>
            <w:tcW w:w="25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管理学原理（中级）</w:t>
            </w:r>
          </w:p>
        </w:tc>
        <w:tc>
          <w:tcPr>
            <w:tcW w:w="43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5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13887</w:t>
            </w:r>
          </w:p>
        </w:tc>
        <w:tc>
          <w:tcPr>
            <w:tcW w:w="25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经济学原理（中级）</w:t>
            </w:r>
          </w:p>
        </w:tc>
        <w:tc>
          <w:tcPr>
            <w:tcW w:w="43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7</w:t>
            </w:r>
          </w:p>
        </w:tc>
        <w:tc>
          <w:tcPr>
            <w:tcW w:w="5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03708</w:t>
            </w:r>
          </w:p>
        </w:tc>
        <w:tc>
          <w:tcPr>
            <w:tcW w:w="25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中国近现代史纲要</w:t>
            </w:r>
          </w:p>
        </w:tc>
        <w:tc>
          <w:tcPr>
            <w:tcW w:w="43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10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8</w:t>
            </w:r>
          </w:p>
        </w:tc>
        <w:tc>
          <w:tcPr>
            <w:tcW w:w="5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03709</w:t>
            </w:r>
          </w:p>
        </w:tc>
        <w:tc>
          <w:tcPr>
            <w:tcW w:w="25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马克思主义基本原理概论</w:t>
            </w:r>
          </w:p>
        </w:tc>
        <w:tc>
          <w:tcPr>
            <w:tcW w:w="43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9</w:t>
            </w:r>
          </w:p>
        </w:tc>
        <w:tc>
          <w:tcPr>
            <w:tcW w:w="5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00103</w:t>
            </w:r>
          </w:p>
        </w:tc>
        <w:tc>
          <w:tcPr>
            <w:tcW w:w="25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证券投资学</w:t>
            </w:r>
          </w:p>
        </w:tc>
        <w:tc>
          <w:tcPr>
            <w:tcW w:w="43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10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10</w:t>
            </w:r>
          </w:p>
        </w:tc>
        <w:tc>
          <w:tcPr>
            <w:tcW w:w="5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00207</w:t>
            </w:r>
          </w:p>
        </w:tc>
        <w:tc>
          <w:tcPr>
            <w:tcW w:w="25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高级财务管理</w:t>
            </w:r>
          </w:p>
        </w:tc>
        <w:tc>
          <w:tcPr>
            <w:tcW w:w="43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11</w:t>
            </w:r>
          </w:p>
        </w:tc>
        <w:tc>
          <w:tcPr>
            <w:tcW w:w="5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01790</w:t>
            </w:r>
          </w:p>
        </w:tc>
        <w:tc>
          <w:tcPr>
            <w:tcW w:w="25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财经法规与会计职业道德</w:t>
            </w:r>
          </w:p>
        </w:tc>
        <w:tc>
          <w:tcPr>
            <w:tcW w:w="43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10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bidi="ar-SA"/>
              </w:rPr>
            </w:pPr>
            <w:r>
              <w:rPr>
                <w:rFonts w:hint="eastAsia" w:ascii="Times New Roman" w:hAnsi="Times New Roman" w:eastAsia="宋体" w:cs="宋体"/>
                <w:color w:val="auto"/>
                <w:kern w:val="0"/>
                <w:sz w:val="18"/>
                <w:szCs w:val="18"/>
                <w:lang w:val="en-US" w:eastAsia="zh-CN"/>
              </w:rPr>
              <w:t>12</w:t>
            </w:r>
          </w:p>
        </w:tc>
        <w:tc>
          <w:tcPr>
            <w:tcW w:w="5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12327</w:t>
            </w:r>
          </w:p>
        </w:tc>
        <w:tc>
          <w:tcPr>
            <w:tcW w:w="25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金融理财规划</w:t>
            </w:r>
          </w:p>
        </w:tc>
        <w:tc>
          <w:tcPr>
            <w:tcW w:w="43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49"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w:t>
            </w:r>
          </w:p>
        </w:tc>
        <w:tc>
          <w:tcPr>
            <w:tcW w:w="5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13316</w:t>
            </w:r>
          </w:p>
        </w:tc>
        <w:tc>
          <w:tcPr>
            <w:tcW w:w="25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财务分析</w:t>
            </w:r>
          </w:p>
        </w:tc>
        <w:tc>
          <w:tcPr>
            <w:tcW w:w="43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3</w:t>
            </w:r>
          </w:p>
        </w:tc>
        <w:tc>
          <w:tcPr>
            <w:tcW w:w="10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49"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p>
        </w:tc>
        <w:tc>
          <w:tcPr>
            <w:tcW w:w="5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13317</w:t>
            </w:r>
          </w:p>
        </w:tc>
        <w:tc>
          <w:tcPr>
            <w:tcW w:w="25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财务分析（实践）</w:t>
            </w:r>
          </w:p>
        </w:tc>
        <w:tc>
          <w:tcPr>
            <w:tcW w:w="43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2</w:t>
            </w:r>
          </w:p>
        </w:tc>
        <w:tc>
          <w:tcPr>
            <w:tcW w:w="10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left"/>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w:t>
            </w:r>
          </w:p>
        </w:tc>
        <w:tc>
          <w:tcPr>
            <w:tcW w:w="5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14033</w:t>
            </w:r>
          </w:p>
        </w:tc>
        <w:tc>
          <w:tcPr>
            <w:tcW w:w="25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内部控制与风险管理</w:t>
            </w:r>
          </w:p>
        </w:tc>
        <w:tc>
          <w:tcPr>
            <w:tcW w:w="43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5</w:t>
            </w:r>
          </w:p>
        </w:tc>
        <w:tc>
          <w:tcPr>
            <w:tcW w:w="1025" w:type="pct"/>
            <w:tcBorders>
              <w:tl2br w:val="nil"/>
              <w:tr2bl w:val="nil"/>
            </w:tcBorders>
            <w:vAlign w:val="center"/>
          </w:tcPr>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15</w:t>
            </w:r>
          </w:p>
        </w:tc>
        <w:tc>
          <w:tcPr>
            <w:tcW w:w="5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06385</w:t>
            </w:r>
          </w:p>
        </w:tc>
        <w:tc>
          <w:tcPr>
            <w:tcW w:w="25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网络信息检索与利用</w:t>
            </w:r>
          </w:p>
        </w:tc>
        <w:tc>
          <w:tcPr>
            <w:tcW w:w="43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4</w:t>
            </w:r>
          </w:p>
        </w:tc>
        <w:tc>
          <w:tcPr>
            <w:tcW w:w="1025" w:type="pct"/>
            <w:vMerge w:val="restar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bidi="ar-SA"/>
              </w:rPr>
              <w:t>不考英语（</w:t>
            </w:r>
            <w:r>
              <w:rPr>
                <w:rFonts w:hint="eastAsia" w:ascii="Times New Roman" w:hAnsi="Times New Roman" w:eastAsia="宋体" w:cs="宋体"/>
                <w:color w:val="auto"/>
                <w:kern w:val="0"/>
                <w:sz w:val="18"/>
                <w:szCs w:val="18"/>
                <w:lang w:val="en-US" w:eastAsia="zh-CN" w:bidi="ar-SA"/>
              </w:rPr>
              <w:t>专升本</w:t>
            </w:r>
            <w:r>
              <w:rPr>
                <w:rFonts w:hint="eastAsia" w:ascii="Times New Roman" w:hAnsi="Times New Roman" w:eastAsia="宋体" w:cs="宋体"/>
                <w:color w:val="auto"/>
                <w:kern w:val="0"/>
                <w:sz w:val="18"/>
                <w:szCs w:val="18"/>
                <w:lang w:val="en-US" w:bidi="ar-SA"/>
              </w:rPr>
              <w:t>）的加考课程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16</w:t>
            </w:r>
          </w:p>
        </w:tc>
        <w:tc>
          <w:tcPr>
            <w:tcW w:w="5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11715</w:t>
            </w:r>
          </w:p>
        </w:tc>
        <w:tc>
          <w:tcPr>
            <w:tcW w:w="25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职业生涯发展与规划</w:t>
            </w:r>
          </w:p>
        </w:tc>
        <w:tc>
          <w:tcPr>
            <w:tcW w:w="43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6</w:t>
            </w:r>
          </w:p>
        </w:tc>
        <w:tc>
          <w:tcPr>
            <w:tcW w:w="1025" w:type="pct"/>
            <w:vMerge w:val="continue"/>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49"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17</w:t>
            </w:r>
          </w:p>
        </w:tc>
        <w:tc>
          <w:tcPr>
            <w:tcW w:w="56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00000</w:t>
            </w:r>
          </w:p>
        </w:tc>
        <w:tc>
          <w:tcPr>
            <w:tcW w:w="2530" w:type="pct"/>
            <w:tcBorders>
              <w:tl2br w:val="nil"/>
              <w:tr2bl w:val="nil"/>
            </w:tcBorders>
            <w:vAlign w:val="center"/>
          </w:tcPr>
          <w:p>
            <w:pPr>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kinsoku/>
              <w:overflowPunct/>
              <w:topLinePunct w:val="0"/>
              <w:bidi w:val="0"/>
              <w:jc w:val="left"/>
              <w:textAlignment w:val="center"/>
              <w:rPr>
                <w:rFonts w:hint="eastAsia" w:ascii="Times New Roman" w:hAnsi="Times New Roman" w:eastAsia="宋体" w:cs="宋体"/>
                <w:i w:val="0"/>
                <w:iCs w:val="0"/>
                <w:color w:val="auto"/>
                <w:kern w:val="0"/>
                <w:sz w:val="18"/>
                <w:szCs w:val="18"/>
                <w:u w:val="none"/>
                <w:lang w:val="en-US" w:eastAsia="zh-CN" w:bidi="ar"/>
              </w:rPr>
            </w:pPr>
            <w:r>
              <w:rPr>
                <w:rFonts w:hint="eastAsia" w:ascii="Times New Roman" w:hAnsi="Times New Roman" w:eastAsia="宋体" w:cs="宋体"/>
                <w:i w:val="0"/>
                <w:iCs w:val="0"/>
                <w:color w:val="auto"/>
                <w:kern w:val="0"/>
                <w:sz w:val="18"/>
                <w:szCs w:val="18"/>
                <w:u w:val="none"/>
                <w:lang w:val="en-US" w:eastAsia="zh-CN" w:bidi="ar"/>
              </w:rPr>
              <w:t>毕业考核（或论文\综合实践\实验\实习等）</w:t>
            </w:r>
          </w:p>
        </w:tc>
        <w:tc>
          <w:tcPr>
            <w:tcW w:w="430"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lang w:val="en-US" w:eastAsia="zh-CN"/>
              </w:rPr>
            </w:pPr>
            <w:r>
              <w:rPr>
                <w:rFonts w:hint="eastAsia" w:ascii="Times New Roman" w:hAnsi="Times New Roman" w:eastAsia="宋体" w:cs="宋体"/>
                <w:color w:val="auto"/>
                <w:kern w:val="0"/>
                <w:sz w:val="18"/>
                <w:szCs w:val="18"/>
                <w:lang w:val="en-US" w:eastAsia="zh-CN"/>
              </w:rPr>
              <w:t>10</w:t>
            </w:r>
          </w:p>
        </w:tc>
        <w:tc>
          <w:tcPr>
            <w:tcW w:w="1025" w:type="pct"/>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14" w:type="pct"/>
            <w:gridSpan w:val="2"/>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rPr>
              <w:t>合     计</w:t>
            </w:r>
          </w:p>
        </w:tc>
        <w:tc>
          <w:tcPr>
            <w:tcW w:w="3985" w:type="pct"/>
            <w:gridSpan w:val="3"/>
            <w:tcBorders>
              <w:tl2br w:val="nil"/>
              <w:tr2bl w:val="nil"/>
            </w:tcBorders>
            <w:vAlign w:val="center"/>
          </w:tcPr>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jc w:val="center"/>
              <w:rPr>
                <w:rFonts w:hint="eastAsia" w:ascii="Times New Roman" w:hAnsi="Times New Roman" w:eastAsia="宋体" w:cs="宋体"/>
                <w:color w:val="auto"/>
                <w:kern w:val="0"/>
                <w:sz w:val="18"/>
                <w:szCs w:val="18"/>
              </w:rPr>
            </w:pPr>
            <w:r>
              <w:rPr>
                <w:rFonts w:hint="eastAsia" w:ascii="Times New Roman" w:hAnsi="Times New Roman" w:eastAsia="宋体" w:cs="宋体"/>
                <w:color w:val="auto"/>
                <w:kern w:val="0"/>
                <w:sz w:val="18"/>
                <w:szCs w:val="18"/>
                <w:lang w:val="en-US" w:eastAsia="zh-CN"/>
              </w:rPr>
              <w:t>8</w:t>
            </w:r>
            <w:r>
              <w:rPr>
                <w:rFonts w:hint="eastAsia" w:ascii="Times New Roman" w:hAnsi="Times New Roman" w:eastAsia="宋体" w:cs="宋体"/>
                <w:color w:val="auto"/>
                <w:kern w:val="0"/>
                <w:sz w:val="18"/>
                <w:szCs w:val="18"/>
              </w:rPr>
              <w:t>2学分</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ascii="Times New Roman" w:hAnsi="Times New Roman" w:eastAsia="方正书宋简体"/>
          <w:color w:val="auto"/>
          <w:kern w:val="0"/>
          <w:szCs w:val="21"/>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overflowPunct/>
        <w:topLinePunct w:val="0"/>
        <w:bidi w:val="0"/>
        <w:spacing w:line="300" w:lineRule="exact"/>
        <w:rPr>
          <w:rFonts w:hint="eastAsia" w:ascii="Times New Roman" w:hAnsi="Times New Roman" w:eastAsia="宋体" w:cs="宋体"/>
          <w:b/>
          <w:bCs/>
          <w:color w:val="auto"/>
          <w:kern w:val="0"/>
          <w:sz w:val="36"/>
          <w:szCs w:val="36"/>
          <w:lang w:val="en-US" w:eastAsia="zh-CN" w:bidi="ar-SA"/>
        </w:rPr>
        <w:sectPr>
          <w:pgSz w:w="11906" w:h="16157"/>
          <w:pgMar w:top="1247" w:right="1287" w:bottom="1134"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财务管理（专升本）专业</w:t>
      </w:r>
      <w:bookmarkStart w:id="0" w:name="_GoBack"/>
      <w:bookmarkEnd w:id="0"/>
      <w:r>
        <w:rPr>
          <w:rFonts w:hint="eastAsia" w:ascii="微软雅黑" w:hAnsi="微软雅黑" w:eastAsia="微软雅黑" w:cs="微软雅黑"/>
          <w:sz w:val="44"/>
          <w:szCs w:val="44"/>
          <w:lang w:val="en-US" w:eastAsia="zh-CN"/>
        </w:rPr>
        <w:t>教材明细表</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1"/>
        <w:gridCol w:w="1239"/>
        <w:gridCol w:w="960"/>
        <w:gridCol w:w="885"/>
        <w:gridCol w:w="2340"/>
        <w:gridCol w:w="2896"/>
        <w:gridCol w:w="1452"/>
        <w:gridCol w:w="2222"/>
        <w:gridCol w:w="12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专业代码</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专业名称</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层次</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课程代码</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课程名称</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教材名称</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教材主编</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教材出版社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版次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04184</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线性代数（经管类）</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线性代数（经管类）</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刘吉佑、刘志学</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08119</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管理会计</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管理会计（一）</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余恕莲</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中国财政经济出版社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13000</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英语（专升本）</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英语（二）自学教程</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张敬源、张虹</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外语教学与研究出版社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13140</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财务会计（中级）</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财务会计（中级）</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胡燕</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中国财政经济出版社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13683</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管理学原理（中级）</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管理学原理（中级）</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白瑷峥</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13887</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经济学原理（中级）</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经济学原理（中级）</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于春海</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03708</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中国近现代史纲要</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中国近现代史纲要自学考试学习读本</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李捷、王顺生</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高等教育出版社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03709</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马克思主义基本原理概论</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马克思主义基本原理概论自学考试学习读本</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卫兴华、赵家祥</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2018年版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00103</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证券投资学</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证券投资学（精编版）</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吴晓求</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2021年版第五版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00207</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高级财务管理</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高级财务管理</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杨昀等</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科学出版社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01790</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财经法规与会计职业道德</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财经法规与会计职业道德</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王红云等</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中国人民大学出版社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2022年版第三版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12327</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金融理财规划</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金融理财原理与实务</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许坤</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西南财经大学出版社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13316</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财务分析</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财务报表分析</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池国华</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北京交通大学出版社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2021年版第四版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13317</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财务分析（实践）</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14033</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内部控制与风险管理</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内部控制学</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池国华</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北京大学出版社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2022年版第四版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06385</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网络信息检索与利用</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信息检索</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黄如花</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武汉大学出版社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2019年第三版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120204</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财务管理</w:t>
            </w:r>
          </w:p>
        </w:tc>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专升本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11715</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职业生涯发展与规划</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大学生职业生涯发展与规划</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钟谷兰</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华东师范大学出版社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2016年版第二版</w:t>
            </w:r>
          </w:p>
        </w:tc>
      </w:tr>
    </w:tbl>
    <w:p>
      <w:pPr>
        <w:rPr>
          <w:rFonts w:hint="eastAsia" w:ascii="微软雅黑" w:hAnsi="微软雅黑" w:eastAsia="微软雅黑" w:cs="微软雅黑"/>
          <w:sz w:val="44"/>
          <w:szCs w:val="4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书宋简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lMDVmMGJlZTk1Yjc4MDNjMGJjZmIwZmViN2JjOGYifQ=="/>
  </w:docVars>
  <w:rsids>
    <w:rsidRoot w:val="00000000"/>
    <w:rsid w:val="266029A5"/>
    <w:rsid w:val="5B1B135A"/>
    <w:rsid w:val="75631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spacing w:beforeLines="0" w:beforeAutospacing="0" w:afterLines="0" w:afterAutospacing="0" w:line="500" w:lineRule="exact"/>
      <w:jc w:val="center"/>
      <w:outlineLvl w:val="0"/>
    </w:pPr>
    <w:rPr>
      <w:rFonts w:ascii="Times New Roman" w:hAnsi="Times New Roman" w:eastAsia="方正小标宋_GBK"/>
      <w:kern w:val="44"/>
      <w:sz w:val="36"/>
    </w:rPr>
  </w:style>
  <w:style w:type="paragraph" w:styleId="3">
    <w:name w:val="heading 2"/>
    <w:basedOn w:val="1"/>
    <w:next w:val="1"/>
    <w:qFormat/>
    <w:uiPriority w:val="99"/>
    <w:pPr>
      <w:keepNext/>
      <w:keepLines/>
      <w:spacing w:before="260" w:after="260" w:line="360" w:lineRule="auto"/>
      <w:outlineLvl w:val="1"/>
    </w:pPr>
    <w:rPr>
      <w:rFonts w:ascii="Arial" w:hAnsi="Arial"/>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680"/>
    </w:pPr>
    <w:rPr>
      <w:rFonts w:ascii="Calibri" w:hAnsi="Calibri"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2023-10-29T05:56:00Z</dcterms:created>
  <dc:creator>Administrator</dc:creator>
  <cp:lastModifiedBy>淡定</cp:lastModifiedBy>
  <dcterms:modified xsi:type="dcterms:W3CDTF">2023-10-29T07:11:00Z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B74C3FBCC8B64F349D32F93037FD452D_12</vt:lpwstr>
  </property>
</Properties>
</file>