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6" w:hRule="atLeast"/>
          <w:jc w:val="center"/>
        </w:trPr>
        <w:tc>
          <w:tcPr>
            <w:tcW w:w="5000" w:type="pct"/>
          </w:tcPr>
          <w:p>
            <w:pPr>
              <w:spacing w:line="720" w:lineRule="auto"/>
              <w:jc w:val="both"/>
              <w:rPr>
                <w:rFonts w:ascii="Times New Roman" w:hAnsi="Times New Roman"/>
                <w:b/>
                <w:bCs/>
                <w:sz w:val="44"/>
                <w:szCs w:val="48"/>
              </w:rPr>
            </w:pPr>
          </w:p>
          <w:p>
            <w:pPr>
              <w:pStyle w:val="2"/>
              <w:keepNext w:val="0"/>
              <w:keepLines w:val="0"/>
              <w:spacing w:before="60" w:beforeLines="-2147483648" w:beforeAutospacing="1" w:afterLines="-2147483648" w:afterAutospacing="1" w:line="36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360" w:lineRule="auto"/>
              <w:rPr>
                <w:rFonts w:hint="eastAsia" w:ascii="宋体" w:hAnsi="宋体" w:eastAsia="黑体"/>
                <w:b/>
                <w:bCs/>
                <w:sz w:val="44"/>
                <w:szCs w:val="48"/>
              </w:rPr>
            </w:pPr>
            <w:r>
              <w:rPr>
                <w:rFonts w:hint="eastAsia" w:ascii="宋体" w:hAnsi="宋体" w:eastAsia="黑体"/>
                <w:b/>
                <w:bCs/>
                <w:sz w:val="44"/>
                <w:szCs w:val="48"/>
              </w:rPr>
              <w:t>文化产业管理（专升本）专业考试计划</w:t>
            </w:r>
          </w:p>
          <w:p>
            <w:pPr>
              <w:pStyle w:val="4"/>
              <w:ind w:firstLine="640"/>
              <w:rPr>
                <w:rFonts w:ascii="Times New Roman" w:hAnsi="Times New Roman"/>
              </w:rPr>
            </w:pPr>
          </w:p>
          <w:p>
            <w:pPr>
              <w:spacing w:afterLines="200"/>
              <w:rPr>
                <w:rFonts w:ascii="Times New Roman" w:hAnsi="Times New Roman"/>
                <w:szCs w:val="36"/>
              </w:rPr>
            </w:pPr>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主考学校：四川旅游学院</w:t>
            </w:r>
          </w:p>
          <w:p>
            <w:pPr>
              <w:spacing w:afterLines="200"/>
              <w:rPr>
                <w:rFonts w:ascii="Times New Roman" w:hAnsi="Times New Roman"/>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bookmarkStart w:id="1" w:name="_GoBack"/>
            <w:bookmarkEnd w:id="1"/>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eastAsia="zh-CN"/>
              </w:rPr>
              <w:t>10</w:t>
            </w:r>
            <w:r>
              <w:rPr>
                <w:rFonts w:hint="eastAsia" w:eastAsia="黑体" w:cs="方正仿宋_GBK"/>
                <w:kern w:val="0"/>
                <w:szCs w:val="22"/>
                <w:lang w:val="zh-CN"/>
              </w:rPr>
              <w:t>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化是一个国家、一个民族的血脉，是人民的精神家园。党的十八大以来，我国文化产业快速发展，总量规模稳步增长，产业结构优化升级，市场主体发展壮大，在促进社会经济结构转型升级和提质增效、满足人民精神文化生活新期待、巩固和坚定文化自信、增强中华文化影响力等方面发挥了重要作用。习近平总书记在</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出席全国宣传思想工作会议并发表的重要讲话中指出：要推动文化产业高质量发展，健全现代文化产业体系和市场体系，推动各类文化市场主体发展壮大，培育新型文化业态和文化消费模式，以高质量文化供给增强人们的文化获得感、幸福感。习近平总书记对文化和旅游融合发展</w:t>
            </w:r>
            <w:r>
              <w:rPr>
                <w:rFonts w:hint="eastAsia" w:ascii="仿宋_GB2312" w:hAnsi="仿宋_GB2312" w:eastAsia="仿宋_GB2312" w:cs="仿宋_GB2312"/>
                <w:color w:val="000000"/>
                <w:sz w:val="28"/>
                <w:szCs w:val="28"/>
                <w:lang w:eastAsia="zh-CN"/>
              </w:rPr>
              <w:t>作出</w:t>
            </w:r>
            <w:r>
              <w:rPr>
                <w:rFonts w:hint="eastAsia" w:ascii="仿宋_GB2312" w:hAnsi="仿宋_GB2312" w:eastAsia="仿宋_GB2312" w:cs="仿宋_GB2312"/>
                <w:color w:val="000000"/>
                <w:sz w:val="28"/>
                <w:szCs w:val="28"/>
              </w:rPr>
              <w:t>了一系列重要论述，强调文化产业和旅游产业密不可分，要坚持以文塑旅、以旅彰文，推动文化和旅游融合发展。</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高等教育自学考试文化产业管理（专升本）专业的学历层次为本科，学科门类为</w:t>
            </w:r>
            <w:r>
              <w:rPr>
                <w:rFonts w:hint="eastAsia" w:ascii="仿宋_GB2312" w:hAnsi="仿宋_GB2312" w:eastAsia="仿宋_GB2312" w:cs="仿宋_GB2312"/>
                <w:color w:val="000000"/>
                <w:sz w:val="28"/>
                <w:szCs w:val="28"/>
                <w:lang w:val="en-US"/>
              </w:rPr>
              <w:t>管理</w:t>
            </w:r>
            <w:r>
              <w:rPr>
                <w:rFonts w:hint="eastAsia" w:ascii="仿宋_GB2312" w:hAnsi="仿宋_GB2312" w:eastAsia="仿宋_GB2312" w:cs="仿宋_GB2312"/>
                <w:color w:val="000000"/>
                <w:sz w:val="28"/>
                <w:szCs w:val="28"/>
              </w:rPr>
              <w:t>学，专业类别为</w:t>
            </w:r>
            <w:r>
              <w:rPr>
                <w:rFonts w:hint="eastAsia" w:ascii="仿宋_GB2312" w:hAnsi="仿宋_GB2312" w:eastAsia="仿宋_GB2312" w:cs="仿宋_GB2312"/>
                <w:color w:val="000000"/>
                <w:sz w:val="28"/>
                <w:szCs w:val="28"/>
                <w:lang w:val="en-US"/>
              </w:rPr>
              <w:t>工商管理</w:t>
            </w:r>
            <w:r>
              <w:rPr>
                <w:rFonts w:hint="eastAsia" w:ascii="仿宋_GB2312" w:hAnsi="仿宋_GB2312" w:eastAsia="仿宋_GB2312" w:cs="仿宋_GB2312"/>
                <w:color w:val="000000"/>
                <w:sz w:val="28"/>
                <w:szCs w:val="28"/>
              </w:rPr>
              <w:t>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颁发文化产业管理（专升本）专业毕业证书，主考学校副署，国家承认学历。符合高等学历继续教育学士学位授予条件者，由主考学校按规定授予学士学位。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掌握文化行政管理和文化企业经营知识，具有宽阔的文化视野和现代管理意识，熟悉文化法规及政策，能够在文化管理部门、文化企事业单位、新闻出版机构、艺术产业机构、文化媒体等从事文化产业管理、文化产业经营、文化活动运作、文化产业研究的应用型专门人才。</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本专业要求掌握文化产业管理及相关学科的基本理论和基本知识，具备文化产业管理相关分析和解决问题的基本能力，具有从事文化产业管理方面的实际工作能力。主要包括：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掌握文化产业管理学科的基本理论和基本知识；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掌握艺术的思维方式和分析方法，具有宽阔的文化视野和创新意识；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具备从事文化产业管理、营销、策划、经纪等方面的基本知识与能力；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掌握文献检索、资料查询的基本方法，具有初步的科学研究能力；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了解国际先进文化产业的理念、经营模式和发展趋势；</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掌握基本的法律知识，熟悉与文化产业相关的文化政策法规和知识产权法律知识。</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bookmarkStart w:id="0" w:name="_Hlk106207437"/>
            <w:r>
              <w:rPr>
                <w:rFonts w:ascii="仿宋_GB2312" w:hAnsi="仿宋_GB2312" w:eastAsia="仿宋_GB2312" w:cs="仿宋_GB2312"/>
                <w:b/>
                <w:bCs/>
                <w:sz w:val="28"/>
                <w:szCs w:val="28"/>
              </w:rPr>
              <w:t>120210</w:t>
            </w:r>
            <w:bookmarkEnd w:id="0"/>
          </w:p>
          <w:tbl>
            <w:tblPr>
              <w:tblStyle w:val="5"/>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68"/>
              <w:gridCol w:w="734"/>
              <w:gridCol w:w="943"/>
              <w:gridCol w:w="3099"/>
              <w:gridCol w:w="660"/>
              <w:gridCol w:w="804"/>
              <w:gridCol w:w="1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106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04"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00507</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文化政策与法规</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04124</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文化经济学</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vMerge w:val="restar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943"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04125</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文化产业创意与策划</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vMerge w:val="continue"/>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943" w:type="dxa"/>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04126</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文化产业创意与策划（实践）</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04127</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文化市场与营销</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05633</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文化产业概论</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04123</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外国文化导论</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04133</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地方文化资源开发与管理</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07675</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媒介经营与管理</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11943</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节事活动策划与管理</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13769</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会展组织与管理</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05650</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文化产业项目管理</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05651</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文化产业项目管理（实践）</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04942</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cyan"/>
                    </w:rPr>
                  </w:pPr>
                  <w:r>
                    <w:rPr>
                      <w:rFonts w:hint="eastAsia" w:ascii="仿宋_GB2312" w:hAnsi="仿宋_GB2312" w:eastAsia="仿宋_GB2312" w:cs="仿宋_GB2312"/>
                      <w:bCs/>
                      <w:sz w:val="24"/>
                      <w:szCs w:val="24"/>
                    </w:rPr>
                    <w:t>国际旅游与客源国概况</w:t>
                  </w:r>
                </w:p>
              </w:tc>
              <w:tc>
                <w:tcPr>
                  <w:tcW w:w="66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0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11964</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旅游项目策划</w:t>
                  </w:r>
                </w:p>
              </w:tc>
              <w:tc>
                <w:tcPr>
                  <w:tcW w:w="660" w:type="dxa"/>
                  <w:tcBorders>
                    <w:top w:val="single" w:color="000000" w:sz="2" w:space="0"/>
                    <w:left w:val="single" w:color="000000" w:sz="2" w:space="0"/>
                    <w:bottom w:val="single" w:color="000000" w:sz="2" w:space="0"/>
                    <w:right w:val="single" w:color="auto" w:sz="4"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6</w:t>
                  </w:r>
                </w:p>
              </w:tc>
              <w:tc>
                <w:tcPr>
                  <w:tcW w:w="804" w:type="dxa"/>
                  <w:tcBorders>
                    <w:top w:val="single" w:color="000000" w:sz="2" w:space="0"/>
                    <w:left w:val="single" w:color="auto" w:sz="4"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76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73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16</w:t>
                  </w:r>
                </w:p>
              </w:tc>
              <w:tc>
                <w:tcPr>
                  <w:tcW w:w="943"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309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660" w:type="dxa"/>
                  <w:tcBorders>
                    <w:top w:val="single" w:color="000000" w:sz="2" w:space="0"/>
                    <w:left w:val="single" w:color="000000" w:sz="2" w:space="0"/>
                    <w:bottom w:val="single" w:color="000000" w:sz="2" w:space="0"/>
                    <w:right w:val="single" w:color="auto" w:sz="4" w:space="0"/>
                  </w:tcBorders>
                  <w:vAlign w:val="center"/>
                </w:tcPr>
                <w:p>
                  <w:pPr>
                    <w:adjustRightInd w:val="0"/>
                    <w:snapToGrid w:val="0"/>
                    <w:rPr>
                      <w:rFonts w:ascii="仿宋_GB2312" w:hAnsi="仿宋_GB2312" w:eastAsia="仿宋_GB2312" w:cs="仿宋_GB2312"/>
                      <w:bCs/>
                      <w:sz w:val="24"/>
                      <w:szCs w:val="24"/>
                      <w:lang w:val="en-US"/>
                    </w:rPr>
                  </w:pPr>
                </w:p>
              </w:tc>
              <w:tc>
                <w:tcPr>
                  <w:tcW w:w="804" w:type="dxa"/>
                  <w:tcBorders>
                    <w:top w:val="single" w:color="000000" w:sz="2" w:space="0"/>
                    <w:left w:val="single" w:color="auto" w:sz="4"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106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trPr>
              <w:tc>
                <w:tcPr>
                  <w:tcW w:w="5544" w:type="dxa"/>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533"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文化政策与法规</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本课程主要内容为外国文化产业政策与法规、国际公约与文化产业、文化产业与版权法、出版产业法规、电影产业法规、广播电视产业法规等。通过学习本课程，使学生能够树立文化产业保护的法制意识</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做到知法、守法、护法、用法；认知和理解我国现行的文化政策与法规体系和法规制度；具有运用自己掌握的法律知识观察、分析、处理有关文化产业法规与保护问题的能力。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文化产业创意与策划</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创意与策划的内涵，文化产业策划的含义、原则与程序，纸质传媒文化产业创意与策划，网络文化产业创意与策划，出版产业创意与策划，手机媒体产业创意与策划，影视文化产业创意与策划，动漫文化产业创意与策划，娱乐业创意与策划等。通过学习本课程，使学生掌握文化产业相关岗位需要的分析、创意、策划、撰写创意策划文案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文化产业概论</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文化产业的形成与发展，文化产业的市场格局，文化资源的开发利用，文化资产的价值实现，文化创意的故事驱动，文化科技的融合发展，文化企业的组织管理和领导模式，文化产业的营销创新与商业模式，文化金融的运营模式，文化产业的集聚效应，文化产业的国际贸易与传播，文化产业的政策治理和发展趋势等。通过学习本课程，使学生掌握文化创新和创意的基本规律、文化产业的基本商业模式等，了解文化产业发展过程中面临的基本问题及掌握解决问题的方法，培养学生对文化产业管理的兴趣。</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地方文化资源开发与管理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2"/>
                <w:sz w:val="28"/>
                <w:szCs w:val="28"/>
                <w:lang w:val="en-US"/>
              </w:rPr>
              <w:t>本课程主要内容为讲授地方文化资源学的基本问题，涉及地方文化资源开发、地方文化资源产业化开发、文化产品、</w:t>
            </w:r>
            <w:r>
              <w:rPr>
                <w:rFonts w:hint="eastAsia" w:ascii="仿宋_GB2312" w:hAnsi="仿宋_GB2312" w:eastAsia="仿宋_GB2312" w:cs="仿宋_GB2312"/>
                <w:color w:val="000000"/>
                <w:kern w:val="2"/>
                <w:sz w:val="28"/>
                <w:szCs w:val="28"/>
                <w:lang w:val="en-US" w:eastAsia="zh-CN"/>
              </w:rPr>
              <w:t>文化创意产业</w:t>
            </w:r>
            <w:r>
              <w:rPr>
                <w:rFonts w:hint="eastAsia" w:ascii="仿宋_GB2312" w:hAnsi="仿宋_GB2312" w:eastAsia="仿宋_GB2312" w:cs="仿宋_GB2312"/>
                <w:color w:val="000000"/>
                <w:sz w:val="28"/>
                <w:szCs w:val="28"/>
              </w:rPr>
              <w:t>、地方文化资源的培育与保护、非物质文化遗产的保护与开发、地方文化资源的管理、文化管理体制改革与文化管理创新等内容。通过学习本课程，使学生对地方文化资源开发与管理的理论与方法有比较全面和深入</w:t>
            </w:r>
            <w:r>
              <w:rPr>
                <w:rFonts w:hint="eastAsia" w:ascii="仿宋_GB2312" w:hAnsi="仿宋_GB2312" w:eastAsia="仿宋_GB2312" w:cs="仿宋_GB2312"/>
                <w:color w:val="000000"/>
                <w:sz w:val="28"/>
                <w:szCs w:val="28"/>
                <w:lang w:eastAsia="zh-CN"/>
              </w:rPr>
              <w:t>的</w:t>
            </w:r>
            <w:r>
              <w:rPr>
                <w:rFonts w:hint="eastAsia" w:ascii="仿宋_GB2312" w:hAnsi="仿宋_GB2312" w:eastAsia="仿宋_GB2312" w:cs="仿宋_GB2312"/>
                <w:color w:val="000000"/>
                <w:sz w:val="28"/>
                <w:szCs w:val="28"/>
              </w:rPr>
              <w:t>了解，理解文化资源的特性和内涵，懂得文化资源保护与开发的意义，提升专业水平和知识能力，具备良好的专业素养。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媒介经营与管理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媒介及其经营管理中的基本概念、管理思想发展历程，媒介经营与管理的外部环境和现状；媒介经营与管理业务及其核心内容，包括媒介组织、战略管理、产品研发与生产管理、营销管理、广告经营与管理、资本运作、品牌管理；媒介组织经营与管理的保障性关键要素，包括人力资源管理、财务管理等。通过学习本课程，使学生全面了解媒介经营管理的基本原理、基本知识和基本特征，掌握各类媒体的经营管理规律、策略和主要方法，引导学生培养起我国传媒业经营的思考能力，培养和提高学生应对媒介市场和驾驭媒介市场的综合能力及素质。</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节事活动策划与管理</w:t>
            </w:r>
          </w:p>
          <w:p>
            <w:pPr>
              <w:pStyle w:val="4"/>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节事概述，节事旅游概论，节事旅游的旅游者、旅游产品及旅游产业，节事研究与发展，节事活动策划的基本流程，节事活动策划的可行性分析，节事活动的形象策划，节事活动的营销策划，节事活动策划</w:t>
            </w:r>
            <w:r>
              <w:rPr>
                <w:rFonts w:hint="eastAsia" w:ascii="仿宋_GB2312" w:hAnsi="仿宋_GB2312" w:eastAsia="仿宋_GB2312" w:cs="仿宋_GB2312"/>
                <w:color w:val="000000"/>
                <w:kern w:val="2"/>
                <w:sz w:val="28"/>
                <w:szCs w:val="28"/>
                <w:lang w:val="en-US" w:eastAsia="zh-CN"/>
              </w:rPr>
              <w:t>方案</w:t>
            </w:r>
            <w:r>
              <w:rPr>
                <w:rFonts w:hint="eastAsia" w:ascii="仿宋_GB2312" w:hAnsi="仿宋_GB2312" w:eastAsia="仿宋_GB2312" w:cs="仿宋_GB2312"/>
                <w:color w:val="000000"/>
                <w:kern w:val="2"/>
                <w:sz w:val="28"/>
                <w:szCs w:val="28"/>
                <w:lang w:val="en-US"/>
              </w:rPr>
              <w:t>的编写，节事活动的组织结构策划，节事旅游的项目进度管理与时间节点控制，节事活动的财务管理与成本控制等。通过本课程的教学，使学生能够掌握节事活动流程的实际操作能力，以及掌握节事活动中</w:t>
            </w:r>
            <w:r>
              <w:rPr>
                <w:rFonts w:hint="eastAsia" w:ascii="仿宋_GB2312" w:hAnsi="仿宋_GB2312" w:eastAsia="仿宋_GB2312" w:cs="仿宋_GB2312"/>
                <w:color w:val="000000"/>
                <w:kern w:val="2"/>
                <w:sz w:val="28"/>
                <w:szCs w:val="28"/>
                <w:lang w:val="en-US" w:eastAsia="zh-CN"/>
              </w:rPr>
              <w:t>所必需的</w:t>
            </w:r>
            <w:r>
              <w:rPr>
                <w:rFonts w:hint="eastAsia" w:ascii="仿宋_GB2312" w:hAnsi="仿宋_GB2312" w:eastAsia="仿宋_GB2312" w:cs="仿宋_GB2312"/>
                <w:color w:val="000000"/>
                <w:kern w:val="2"/>
                <w:sz w:val="28"/>
                <w:szCs w:val="28"/>
                <w:lang w:val="en-US"/>
              </w:rPr>
              <w:t>节事活动策划、营销、赞助、现场、财务、风险、评估等方面的核心知识和技能。</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会展组织与管理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会展项目启动与报批，会展项目的组织管理，会展项目计划，会展项目实施与控制，会展项目筹资与成本管理，会展项目的沟通与冲突管理，会展项目的现场管理，会展项目的管理创新，会展项目风险管理等。通过本课程的教学，使学生掌握会展产业、企业与项目管理的基本理论、基本程序与基本方法，对会展管理活动的起源与发展有一个比较概括的了解，对于会展项目有充分的认识，熟悉会展管理的主要内容和基本流程，为学生今后从事相关工作打下坚实基础。</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文化产业项目管理</w:t>
            </w:r>
          </w:p>
          <w:p>
            <w:pPr>
              <w:snapToGrid w:val="0"/>
              <w:spacing w:line="360" w:lineRule="auto"/>
              <w:ind w:firstLine="560"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color w:val="000000"/>
                <w:sz w:val="28"/>
                <w:szCs w:val="28"/>
              </w:rPr>
              <w:t>本课程主要内容为文化产业项目管理的基本概念，文化产业项目立项与决策、文化产业项目设计与计划、文化产业项目投资与融资、文化产业项目组织与团队管理、文化产业项目市场推广与营销、文化产业项目实施与控制、文化产业项目冲突与沟通、文化产业项目收尾与后评估等。通过学习本课程，使学生掌握与文化产业项目相关的基本概念、构成要素、特征特性、运作过程，掌握文化产业项目策划与管理的基本原理、规律，了解文化产业项目在策划阶段和管理过程中的一般形式和操作方法，让学生对文化产业项目运作过程和主线有一个清晰的理解和切实的把握。</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国际旅游与客源国概况</w:t>
            </w:r>
          </w:p>
          <w:p>
            <w:pPr>
              <w:pStyle w:val="4"/>
              <w:snapToGrid w:val="0"/>
              <w:spacing w:line="360" w:lineRule="auto"/>
              <w:ind w:firstLine="560" w:firstLineChars="200"/>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本课程主要内容</w:t>
            </w:r>
            <w:r>
              <w:rPr>
                <w:rFonts w:hint="eastAsia" w:ascii="仿宋_GB2312" w:hAnsi="仿宋_GB2312" w:eastAsia="仿宋_GB2312" w:cs="仿宋_GB2312"/>
                <w:color w:val="000000"/>
                <w:sz w:val="28"/>
                <w:szCs w:val="28"/>
                <w:lang w:val="en-US"/>
              </w:rPr>
              <w:t>为</w:t>
            </w:r>
            <w:r>
              <w:rPr>
                <w:rFonts w:hint="eastAsia" w:ascii="仿宋_GB2312" w:hAnsi="仿宋_GB2312" w:eastAsia="仿宋_GB2312" w:cs="仿宋_GB2312"/>
                <w:color w:val="000000"/>
                <w:sz w:val="28"/>
                <w:szCs w:val="28"/>
              </w:rPr>
              <w:t>紧紧围绕发展中国入境旅游这一主题，对中国主要客源国和地区的地理环境、社会文化、政治经济、旅游业概况、来华旅游现状等进行全面阐述。通过学习本课程，使学生系统掌握世界主要旅游客源国和地区的基本情况，了解各国国情及世界旅游概况，能帮助学生开阔视野，增强专业兴趣。</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旅游项目策划</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文化旅游融合概述，文化旅游产业发展，文化旅游项目策划，文化旅游项目管理，文化旅游项目市场推广与营销，文化旅游消费等。通过学习本课程，使学生掌握文旅项目策划的基础理论、基本方法、基本内容和程序，了解不同类型的文旅项目策划实例和经验，具备文旅项目的创意构思和营销策划能力。</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含实践的课程及实践所占学分：文化产业创意与策划</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学分，文化产业项目管理</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为培养学生分析与解决问题的能力，使其毕业后能胜任与本专业相关的工作，建议在以下四类实习中挑选一类进行短期实习，并写出不少于</w:t>
            </w:r>
            <w:r>
              <w:rPr>
                <w:rFonts w:ascii="仿宋_GB2312" w:hAnsi="仿宋_GB2312" w:eastAsia="仿宋_GB2312" w:cs="仿宋_GB2312"/>
                <w:color w:val="000000"/>
                <w:kern w:val="2"/>
                <w:sz w:val="28"/>
                <w:szCs w:val="28"/>
                <w:lang w:val="en-US"/>
              </w:rPr>
              <w:t>3</w:t>
            </w:r>
            <w:r>
              <w:rPr>
                <w:rFonts w:hint="eastAsia" w:ascii="仿宋_GB2312" w:hAnsi="仿宋_GB2312" w:eastAsia="仿宋_GB2312" w:cs="仿宋_GB2312"/>
                <w:color w:val="000000"/>
                <w:kern w:val="2"/>
                <w:sz w:val="28"/>
                <w:szCs w:val="28"/>
                <w:lang w:val="en-US"/>
              </w:rPr>
              <w:t>千字的实习报告：（</w:t>
            </w: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）中小学以及各类社会教育培训机构实习；（</w:t>
            </w: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）媒体或文化、出版机构实习；（</w:t>
            </w:r>
            <w:r>
              <w:rPr>
                <w:rFonts w:ascii="仿宋_GB2312" w:hAnsi="仿宋_GB2312" w:eastAsia="仿宋_GB2312" w:cs="仿宋_GB2312"/>
                <w:color w:val="000000"/>
                <w:kern w:val="2"/>
                <w:sz w:val="28"/>
                <w:szCs w:val="28"/>
                <w:lang w:val="en-US"/>
              </w:rPr>
              <w:t>3</w:t>
            </w:r>
            <w:r>
              <w:rPr>
                <w:rFonts w:hint="eastAsia" w:ascii="仿宋_GB2312" w:hAnsi="仿宋_GB2312" w:eastAsia="仿宋_GB2312" w:cs="仿宋_GB2312"/>
                <w:color w:val="000000"/>
                <w:kern w:val="2"/>
                <w:sz w:val="28"/>
                <w:szCs w:val="28"/>
                <w:lang w:val="en-US"/>
              </w:rPr>
              <w:t>）政府机关、企事业单位实习；（</w:t>
            </w:r>
            <w:r>
              <w:rPr>
                <w:rFonts w:ascii="仿宋_GB2312" w:hAnsi="仿宋_GB2312" w:eastAsia="仿宋_GB2312" w:cs="仿宋_GB2312"/>
                <w:color w:val="000000"/>
                <w:kern w:val="2"/>
                <w:sz w:val="28"/>
                <w:szCs w:val="28"/>
                <w:lang w:val="en-US"/>
              </w:rPr>
              <w:t>4</w:t>
            </w:r>
            <w:r>
              <w:rPr>
                <w:rFonts w:hint="eastAsia" w:ascii="仿宋_GB2312" w:hAnsi="仿宋_GB2312" w:eastAsia="仿宋_GB2312" w:cs="仿宋_GB2312"/>
                <w:color w:val="000000"/>
                <w:kern w:val="2"/>
                <w:sz w:val="28"/>
                <w:szCs w:val="28"/>
                <w:lang w:val="en-US"/>
              </w:rPr>
              <w:t>）与专业相关的调研活动。</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1.</w:t>
            </w:r>
            <w:r>
              <w:rPr>
                <w:rFonts w:hint="eastAsia" w:ascii="仿宋_GB2312" w:hAnsi="仿宋_GB2312" w:eastAsia="仿宋_GB2312" w:cs="仿宋_GB2312"/>
                <w:color w:val="000000"/>
                <w:kern w:val="2"/>
                <w:sz w:val="28"/>
                <w:szCs w:val="28"/>
                <w:lang w:val="en-US"/>
              </w:rPr>
              <w:t>全部课程考试成绩合格后进行毕业考核。</w:t>
            </w:r>
          </w:p>
          <w:p>
            <w:pPr>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综合考试注重考核应考者应用专业知识分析问题、解决问题的能力。</w:t>
            </w:r>
          </w:p>
          <w:p>
            <w:pPr>
              <w:pStyle w:val="4"/>
              <w:snapToGrid w:val="0"/>
              <w:spacing w:line="360" w:lineRule="auto"/>
              <w:ind w:firstLine="560" w:firstLineChars="200"/>
              <w:jc w:val="left"/>
              <w:rPr>
                <w:rFonts w:ascii="仿宋" w:hAnsi="仿宋" w:eastAsia="仿宋" w:cs="仿宋"/>
                <w:color w:val="000000"/>
                <w:sz w:val="28"/>
                <w:szCs w:val="28"/>
                <w:lang w:val="en-US"/>
              </w:rPr>
            </w:pPr>
            <w:r>
              <w:rPr>
                <w:rFonts w:ascii="仿宋_GB2312" w:hAnsi="仿宋_GB2312" w:eastAsia="仿宋_GB2312" w:cs="仿宋_GB2312"/>
                <w:color w:val="000000"/>
                <w:kern w:val="2"/>
                <w:sz w:val="28"/>
                <w:szCs w:val="28"/>
                <w:lang w:val="en-US"/>
              </w:rPr>
              <w:t>3.</w:t>
            </w:r>
            <w:r>
              <w:rPr>
                <w:rFonts w:hint="eastAsia" w:ascii="仿宋_GB2312" w:hAnsi="仿宋_GB2312" w:eastAsia="仿宋_GB2312" w:cs="仿宋_GB2312"/>
                <w:color w:val="000000"/>
                <w:kern w:val="2"/>
                <w:sz w:val="28"/>
                <w:szCs w:val="28"/>
                <w:lang w:val="en-US"/>
              </w:rPr>
              <w:t>毕业论文字数原则上不少于</w:t>
            </w:r>
            <w:r>
              <w:rPr>
                <w:rFonts w:ascii="仿宋_GB2312" w:hAnsi="仿宋_GB2312" w:eastAsia="仿宋_GB2312" w:cs="仿宋_GB2312"/>
                <w:color w:val="000000"/>
                <w:kern w:val="2"/>
                <w:sz w:val="28"/>
                <w:szCs w:val="28"/>
                <w:lang w:val="en-US"/>
              </w:rPr>
              <w:t>5</w:t>
            </w:r>
            <w:r>
              <w:rPr>
                <w:rFonts w:hint="eastAsia" w:ascii="仿宋_GB2312" w:hAnsi="仿宋_GB2312" w:eastAsia="仿宋_GB2312" w:cs="仿宋_GB2312"/>
                <w:color w:val="000000"/>
                <w:kern w:val="2"/>
                <w:sz w:val="28"/>
                <w:szCs w:val="28"/>
                <w:lang w:val="en-US"/>
              </w:rPr>
              <w:t>千字，要求主题鲜明，观点正确，联系实际，层次清楚，语言流畅。论文须经审查答辩后评定成绩。评定成绩采用四级评定制方法，即优秀、良好、及格、不及格。</w:t>
            </w:r>
          </w:p>
          <w:p>
            <w:pPr>
              <w:pStyle w:val="4"/>
              <w:rPr>
                <w:rFonts w:ascii="仿宋" w:hAnsi="仿宋" w:eastAsia="仿宋" w:cs="仿宋"/>
                <w:color w:val="000000"/>
                <w:sz w:val="28"/>
                <w:szCs w:val="28"/>
                <w:lang w:val="en-US"/>
              </w:rPr>
            </w:pPr>
          </w:p>
          <w:p>
            <w:pPr>
              <w:pStyle w:val="4"/>
              <w:rPr>
                <w:rFonts w:ascii="仿宋" w:hAnsi="仿宋" w:eastAsia="仿宋" w:cs="仿宋"/>
                <w:color w:val="000000"/>
                <w:kern w:val="2"/>
                <w:sz w:val="28"/>
                <w:szCs w:val="28"/>
                <w:lang w:val="en-US"/>
              </w:rPr>
            </w:pPr>
          </w:p>
          <w:p>
            <w:pPr>
              <w:rPr>
                <w:lang w:val="en-US"/>
              </w:rPr>
            </w:pPr>
          </w:p>
          <w:p>
            <w:pPr>
              <w:pStyle w:val="4"/>
              <w:ind w:firstLine="0"/>
              <w:jc w:val="both"/>
              <w:rPr>
                <w:rFonts w:ascii="Times New Roman" w:hAnsi="Times New Roman" w:eastAsia="微软雅黑"/>
                <w:b/>
                <w:bCs/>
                <w:sz w:val="30"/>
                <w:szCs w:val="30"/>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文化产业管理（专升本）专业课程设置与学分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 xml:space="preserve">专业层次：专升本 </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专业代码：120210</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30"/>
        <w:gridCol w:w="1290"/>
        <w:gridCol w:w="5073"/>
        <w:gridCol w:w="1017"/>
        <w:gridCol w:w="12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课码</w:t>
            </w:r>
          </w:p>
        </w:tc>
        <w:tc>
          <w:tcPr>
            <w:tcW w:w="269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6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04123</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外国文化导论</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04124</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文化经济学</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04127</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文化市场与营销</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00507</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文化政策与法规</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04125</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文化产业创意与策划</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04126</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文化产业创意与策划（实践）</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05633</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文化产业概论</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04133</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地方文化资源开发与管理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04942</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国际旅游与客源国概况</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vMerge w:val="restar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05650</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文化产业项目管理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vMerge w:val="continue"/>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05651</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文化产业项目管理（实践）</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07675</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媒介经营与管理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11943</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节事活动策划与管理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11964</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旅游项目策划</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13769</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会展组织与管理</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jc w:val="center"/>
        </w:trPr>
        <w:tc>
          <w:tcPr>
            <w:tcW w:w="44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68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694"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3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jc w:val="center"/>
        </w:trPr>
        <w:tc>
          <w:tcPr>
            <w:tcW w:w="1126"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873"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2</w:t>
            </w:r>
            <w:r>
              <w:rPr>
                <w:rFonts w:hint="eastAsia" w:ascii="Times New Roman" w:hAnsi="Times New Roman" w:eastAsia="宋体" w:cs="宋体"/>
                <w:color w:val="auto"/>
                <w:kern w:val="0"/>
                <w:sz w:val="18"/>
                <w:szCs w:val="18"/>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default" w:ascii="Times New Roman" w:hAnsi="Times New Roman" w:eastAsia="方正书宋简体" w:cs="宋体"/>
          <w:b/>
          <w:bCs/>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文化产业管理（专升本）专业教材明细表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1613"/>
        <w:gridCol w:w="960"/>
        <w:gridCol w:w="885"/>
        <w:gridCol w:w="2714"/>
        <w:gridCol w:w="2525"/>
        <w:gridCol w:w="1301"/>
        <w:gridCol w:w="2041"/>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外国文化导论</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外国文化导论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刘建军</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文化经济学</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文化经济学</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程恩富、顾钰民</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文化市场与营销</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文化市场与营销</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王育济</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00507</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文化政策与法规</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文化产业政策与法规</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张书勤</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中国政法大学出版社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文化产业创意与策划</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文化产业创意与策划</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袁连升、王元伦</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04126</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文化产业创意与策划（实践）</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05633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文化产业概论</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文化产业概论</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向勇</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04133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地方文化资源开发与管理</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地方文化资源开发与管理</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王宏彬</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哈尔滨工程大学出版社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04942</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国际旅游与客源国概况</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中国旅游客源国概况</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陈家刚</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05650</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文化产业项目管理</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文化产业项目管理</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金青梅</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西安交通大学出版社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05651</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文化产业项目管理（实践）</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07675</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媒介经营与管理</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媒介经营与管理</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周蔚华</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11943</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节事活动策划与管理</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节事活动策划与管理</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罗伊玲</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11964</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旅游项目策划</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文化旅游项目策划与管理</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靳斌、王孟璟</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120210</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文化产业管理</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13769</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会展组织与管理</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会展项目管理：理论、方法与实践</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江金波</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235A791B"/>
    <w:rsid w:val="294E5E7D"/>
    <w:rsid w:val="642F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2023-10-29T06:04:00Z</dcterms:created>
  <dc:creator>Administrator</dc:creator>
  <cp:lastModifiedBy>淡定</cp:lastModifiedBy>
  <dcterms:modified xsi:type="dcterms:W3CDTF">2023-10-29T07:13:07Z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C7C72405C88E49FA80A6097C1A4D23A5_12</vt:lpwstr>
  </property>
</Properties>
</file>