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播音与主持艺术（专升本）专业考试计划</w:t>
            </w:r>
          </w:p>
          <w:p>
            <w:pPr>
              <w:spacing w:afterLines="200"/>
              <w:rPr>
                <w:rFonts w:ascii="Times New Roman" w:hAnsi="Times New Roman"/>
                <w:szCs w:val="36"/>
              </w:rPr>
            </w:pPr>
          </w:p>
          <w:p>
            <w:pPr>
              <w:spacing w:afterLines="200"/>
              <w:rPr>
                <w:rFonts w:ascii="Times New Roman" w:hAnsi="Times New Roman"/>
                <w:szCs w:val="36"/>
              </w:rPr>
            </w:pPr>
          </w:p>
          <w:p>
            <w:pPr>
              <w:spacing w:afterLines="200"/>
              <w:rPr>
                <w:rFonts w:ascii="Times New Roman" w:hAnsi="Times New Roman"/>
                <w:szCs w:val="36"/>
              </w:rPr>
            </w:pPr>
          </w:p>
          <w:p>
            <w:pPr>
              <w:pStyle w:val="4"/>
            </w:pPr>
          </w:p>
          <w:p>
            <w:pPr>
              <w:pStyle w:val="4"/>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主考学校：四川师范大学</w:t>
            </w:r>
          </w:p>
          <w:p>
            <w:pPr>
              <w:spacing w:afterLines="200"/>
              <w:rPr>
                <w:rFonts w:ascii="Times New Roman" w:hAnsi="Times New Roman"/>
                <w:b/>
                <w:bCs/>
              </w:rPr>
            </w:pPr>
          </w:p>
          <w:p>
            <w:pPr>
              <w:pStyle w:val="4"/>
            </w:pPr>
          </w:p>
          <w:p>
            <w:pPr>
              <w:pStyle w:val="4"/>
            </w:pPr>
          </w:p>
          <w:p>
            <w:pPr>
              <w:pStyle w:val="4"/>
            </w:pPr>
          </w:p>
          <w:p>
            <w:pPr>
              <w:pStyle w:val="4"/>
            </w:pPr>
          </w:p>
          <w:p>
            <w:pPr>
              <w:pStyle w:val="4"/>
            </w:pPr>
          </w:p>
          <w:p>
            <w:pPr>
              <w:pStyle w:val="4"/>
            </w:pPr>
          </w:p>
          <w:p>
            <w:pPr>
              <w:pStyle w:val="4"/>
            </w:pPr>
          </w:p>
          <w:p>
            <w:pPr>
              <w:pStyle w:val="4"/>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w:t>
            </w:r>
            <w:r>
              <w:rPr>
                <w:rFonts w:hint="eastAsia" w:eastAsia="黑体" w:cs="方正仿宋_GBK"/>
                <w:kern w:val="0"/>
                <w:szCs w:val="22"/>
                <w:lang w:val="en-US"/>
              </w:rPr>
              <w:t>10</w:t>
            </w:r>
            <w:r>
              <w:rPr>
                <w:rFonts w:hint="eastAsia" w:eastAsia="黑体" w:cs="方正仿宋_GBK"/>
                <w:kern w:val="0"/>
                <w:szCs w:val="22"/>
                <w:lang w:val="zh-CN"/>
              </w:rPr>
              <w:t>月制定</w:t>
            </w:r>
          </w:p>
          <w:p>
            <w:pPr>
              <w:spacing w:line="520" w:lineRule="exact"/>
              <w:rPr>
                <w:rFonts w:ascii="Times New Roman" w:hAnsi="Times New Roman" w:eastAsia="微软雅黑"/>
                <w:b/>
                <w:bCs/>
                <w:sz w:val="30"/>
                <w:szCs w:val="30"/>
              </w:rPr>
            </w:pPr>
          </w:p>
          <w:p>
            <w:pPr>
              <w:pStyle w:val="4"/>
              <w:rPr>
                <w:rFonts w:ascii="Times New Roman" w:hAnsi="Times New Roman" w:eastAsia="微软雅黑"/>
                <w:b/>
                <w:bCs/>
                <w:sz w:val="30"/>
                <w:szCs w:val="30"/>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高等教育自学考试播音与主持艺术（专升本）专业的学历层次为本科，学科门类为艺术学，专业类别为戏剧与影视学类。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71</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eastAsia="zh-CN"/>
              </w:rPr>
              <w:t>考试委员会</w:t>
            </w:r>
            <w:r>
              <w:rPr>
                <w:rFonts w:hint="eastAsia" w:ascii="仿宋_GB2312" w:hAnsi="仿宋_GB2312" w:eastAsia="仿宋_GB2312" w:cs="仿宋_GB2312"/>
                <w:color w:val="000000"/>
                <w:sz w:val="28"/>
                <w:szCs w:val="28"/>
              </w:rPr>
              <w:t>颁发播音与主持艺术（专升本）专业毕业证书，主考学校副署，国家承认学历。符合高等学历继续教育学士学位授予条件者，由主考学校按规定授予学士学位。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hint="eastAsia" w:ascii="仿宋_GB2312" w:hAnsi="仿宋_GB2312" w:eastAsia="仿宋_GB2312" w:cs="仿宋_GB2312"/>
                <w:b/>
                <w:bCs/>
                <w:color w:val="000000"/>
                <w:sz w:val="28"/>
                <w:szCs w:val="28"/>
                <w:lang w:val="en-US"/>
              </w:rPr>
              <w:t>一</w:t>
            </w:r>
            <w:r>
              <w:rPr>
                <w:rFonts w:hint="eastAsia" w:ascii="仿宋_GB2312" w:hAnsi="仿宋_GB2312" w:eastAsia="仿宋_GB2312" w:cs="仿宋_GB2312"/>
                <w:b/>
                <w:bCs/>
                <w:color w:val="000000"/>
                <w:sz w:val="28"/>
                <w:szCs w:val="28"/>
              </w:rPr>
              <w:t>）培养目标</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培养理想信念坚定，德、智、体、美、劳全面发展，具有较高的科学文化素养、职业道德水准、创新创业能力和社会责任感，适应社会和经济发展需要，具备广播电视新闻传播、语言文学、戏剧与影视学等基本理论和知识，熟悉国家相关政策法规，能够在广播电视等传媒机构和其他相关单位从事广播电视播音与节目主持等方面工作的应用型人才。</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hint="eastAsia" w:ascii="仿宋_GB2312" w:hAnsi="仿宋_GB2312" w:eastAsia="仿宋_GB2312" w:cs="仿宋_GB2312"/>
                <w:b/>
                <w:bCs/>
                <w:color w:val="000000"/>
                <w:sz w:val="28"/>
                <w:szCs w:val="28"/>
                <w:lang w:val="en-US"/>
              </w:rPr>
              <w:t>二</w:t>
            </w:r>
            <w:r>
              <w:rPr>
                <w:rFonts w:hint="eastAsia" w:ascii="仿宋_GB2312" w:hAnsi="仿宋_GB2312" w:eastAsia="仿宋_GB2312" w:cs="仿宋_GB2312"/>
                <w:b/>
                <w:bCs/>
                <w:color w:val="000000"/>
                <w:sz w:val="28"/>
                <w:szCs w:val="28"/>
              </w:rPr>
              <w:t>）基本要求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要求掌握人文与社会科学的基本知识，具备新闻传播学、中国播音学等方面的基本理论知识，获得普通话发音、播音发音、有声语言表达、广播电视节目播音、主持、创作等方面实践技能训练，掌握有声语言艺术创作和播音主持的基本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主要包括：</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掌握传播学、新闻学、播音与主持艺术等基本理论和基本知识；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具备熟练运用现代传播技术从事播音与主持艺术实务活动的能力；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熟悉国家新闻传播及播音主持领域的方针政策和法律法规，具有强烈社会责任感，坚守职业道德准则；</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了解播音与主持领域的历史演进及最新发展动态；</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具备合理的知识结构，掌握科学开展工作的一般方法，能正确判断和解决实际问题，具备较强的学习能力，能适应和胜任多变的职业领域；</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具有较强的文字表达能力以及计算机和网络应用技能，基本掌握一门外语，具备较强的新知识、新技能的学习能力和一定的创新意识与能力。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pStyle w:val="4"/>
              <w:jc w:val="both"/>
              <w:rPr>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130309</w:t>
            </w:r>
          </w:p>
          <w:tbl>
            <w:tblPr>
              <w:tblStyle w:val="5"/>
              <w:tblW w:w="8306" w:type="dxa"/>
              <w:jc w:val="center"/>
              <w:tblLayout w:type="fixed"/>
              <w:tblCellMar>
                <w:top w:w="0" w:type="dxa"/>
                <w:left w:w="108" w:type="dxa"/>
                <w:bottom w:w="0" w:type="dxa"/>
                <w:right w:w="108" w:type="dxa"/>
              </w:tblCellMar>
            </w:tblPr>
            <w:tblGrid>
              <w:gridCol w:w="411"/>
              <w:gridCol w:w="610"/>
              <w:gridCol w:w="1004"/>
              <w:gridCol w:w="4058"/>
              <w:gridCol w:w="610"/>
              <w:gridCol w:w="700"/>
              <w:gridCol w:w="913"/>
            </w:tblGrid>
            <w:tr>
              <w:tblPrEx>
                <w:tblCellMar>
                  <w:top w:w="0" w:type="dxa"/>
                  <w:left w:w="108" w:type="dxa"/>
                  <w:bottom w:w="0" w:type="dxa"/>
                  <w:right w:w="108" w:type="dxa"/>
                </w:tblCellMar>
              </w:tblPrEx>
              <w:trPr>
                <w:trHeight w:val="567" w:hRule="atLeast"/>
                <w:jc w:val="center"/>
              </w:trPr>
              <w:tc>
                <w:tcPr>
                  <w:tcW w:w="247"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类别</w:t>
                  </w:r>
                </w:p>
              </w:tc>
              <w:tc>
                <w:tcPr>
                  <w:tcW w:w="367" w:type="pct"/>
                  <w:tcBorders>
                    <w:top w:val="single" w:color="auto" w:sz="4" w:space="0"/>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604" w:type="pct"/>
                  <w:tcBorders>
                    <w:top w:val="single" w:color="auto" w:sz="4" w:space="0"/>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课程代码</w:t>
                  </w:r>
                </w:p>
              </w:tc>
              <w:tc>
                <w:tcPr>
                  <w:tcW w:w="2442" w:type="pct"/>
                  <w:tcBorders>
                    <w:top w:val="single" w:color="auto" w:sz="4" w:space="0"/>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课程名称</w:t>
                  </w:r>
                </w:p>
              </w:tc>
              <w:tc>
                <w:tcPr>
                  <w:tcW w:w="367" w:type="pct"/>
                  <w:tcBorders>
                    <w:top w:val="single" w:color="auto" w:sz="4" w:space="0"/>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学分</w:t>
                  </w:r>
                </w:p>
              </w:tc>
              <w:tc>
                <w:tcPr>
                  <w:tcW w:w="421" w:type="pct"/>
                  <w:tcBorders>
                    <w:top w:val="single" w:color="auto" w:sz="4" w:space="0"/>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考试方式</w:t>
                  </w:r>
                </w:p>
              </w:tc>
              <w:tc>
                <w:tcPr>
                  <w:tcW w:w="549" w:type="pct"/>
                  <w:tcBorders>
                    <w:top w:val="single" w:color="auto" w:sz="4" w:space="0"/>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CellMar>
                  <w:top w:w="0" w:type="dxa"/>
                  <w:left w:w="108" w:type="dxa"/>
                  <w:bottom w:w="0" w:type="dxa"/>
                  <w:right w:w="108" w:type="dxa"/>
                </w:tblCellMar>
              </w:tblPrEx>
              <w:trPr>
                <w:trHeight w:val="567" w:hRule="atLeast"/>
                <w:jc w:val="center"/>
              </w:trPr>
              <w:tc>
                <w:tcPr>
                  <w:tcW w:w="247" w:type="pct"/>
                  <w:vMerge w:val="restart"/>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基础</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w:t>
                  </w:r>
                </w:p>
              </w:tc>
              <w:tc>
                <w:tcPr>
                  <w:tcW w:w="367" w:type="pct"/>
                  <w:tcBorders>
                    <w:top w:val="nil"/>
                    <w:left w:val="nil"/>
                    <w:bottom w:val="single" w:color="auto" w:sz="4" w:space="0"/>
                    <w:right w:val="single" w:color="auto" w:sz="4" w:space="0"/>
                  </w:tcBorders>
                  <w:noWrap/>
                  <w:vAlign w:val="center"/>
                </w:tcPr>
                <w:p>
                  <w:pPr>
                    <w:widowControl/>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tl w:val="0"/>
                      <w:lang w:val="en-US" w:eastAsia="zh-CN"/>
                    </w:rPr>
                    <w:t>1</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03708</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中国近现代史纲要</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restart"/>
                  <w:tcBorders>
                    <w:top w:val="nil"/>
                    <w:left w:val="single" w:color="auto" w:sz="4" w:space="0"/>
                    <w:bottom w:val="single" w:color="000000"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tl w:val="0"/>
                      <w:lang w:val="en-US" w:eastAsia="zh-CN"/>
                    </w:rPr>
                    <w:t>2</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03709</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马克思主义基本原理概论</w:t>
                  </w:r>
                </w:p>
              </w:tc>
              <w:tc>
                <w:tcPr>
                  <w:tcW w:w="367" w:type="pct"/>
                  <w:tcBorders>
                    <w:top w:val="nil"/>
                    <w:left w:val="nil"/>
                    <w:bottom w:val="single" w:color="auto" w:sz="4" w:space="0"/>
                    <w:right w:val="single" w:color="auto" w:sz="4" w:space="0"/>
                  </w:tcBorders>
                  <w:noWrap/>
                  <w:vAlign w:val="center"/>
                </w:tcPr>
                <w:p>
                  <w:pPr>
                    <w:widowControl/>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tl w:val="0"/>
                      <w:lang w:val="en-US" w:eastAsia="zh-CN"/>
                    </w:rPr>
                    <w:t>4</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tl w:val="0"/>
                      <w:lang w:val="en-US" w:eastAsia="zh-CN"/>
                    </w:rPr>
                    <w:t>3</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13000</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英语（</w:t>
                  </w:r>
                  <w:r>
                    <w:rPr>
                      <w:rFonts w:hint="eastAsia" w:ascii="仿宋_GB2312" w:hAnsi="仿宋_GB2312" w:eastAsia="仿宋_GB2312" w:cs="仿宋_GB2312"/>
                      <w:color w:val="000000"/>
                      <w:sz w:val="24"/>
                      <w:szCs w:val="24"/>
                      <w:lang w:val="en-US"/>
                    </w:rPr>
                    <w:t>专升本</w:t>
                  </w:r>
                  <w:r>
                    <w:rPr>
                      <w:rFonts w:hint="eastAsia" w:ascii="仿宋_GB2312" w:hAnsi="仿宋_GB2312" w:eastAsia="仿宋_GB2312" w:cs="仿宋_GB2312"/>
                      <w:color w:val="000000"/>
                      <w:sz w:val="24"/>
                      <w:szCs w:val="24"/>
                    </w:rPr>
                    <w:t>）</w:t>
                  </w:r>
                </w:p>
              </w:tc>
              <w:tc>
                <w:tcPr>
                  <w:tcW w:w="367" w:type="pct"/>
                  <w:tcBorders>
                    <w:top w:val="nil"/>
                    <w:left w:val="nil"/>
                    <w:bottom w:val="single" w:color="auto" w:sz="4" w:space="0"/>
                    <w:right w:val="single" w:color="auto" w:sz="4" w:space="0"/>
                  </w:tcBorders>
                  <w:noWrap/>
                  <w:vAlign w:val="center"/>
                </w:tcPr>
                <w:p>
                  <w:pPr>
                    <w:widowControl/>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tl w:val="0"/>
                      <w:lang w:val="en-US" w:eastAsia="zh-CN"/>
                    </w:rPr>
                    <w:t>7</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restart"/>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核</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心</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w:t>
                  </w:r>
                </w:p>
              </w:tc>
              <w:tc>
                <w:tcPr>
                  <w:tcW w:w="367" w:type="pct"/>
                  <w:vMerge w:val="restart"/>
                  <w:tcBorders>
                    <w:top w:val="nil"/>
                    <w:left w:val="single" w:color="auto" w:sz="4" w:space="0"/>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07176</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即兴口语表达</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restart"/>
                  <w:tcBorders>
                    <w:top w:val="nil"/>
                    <w:left w:val="single" w:color="auto" w:sz="4" w:space="0"/>
                    <w:bottom w:val="single" w:color="000000"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07177</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即兴口语表达（实践）</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vMerge w:val="restart"/>
                  <w:tcBorders>
                    <w:top w:val="nil"/>
                    <w:left w:val="single" w:color="auto" w:sz="4" w:space="0"/>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07180</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广播播音主持</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07181</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广播播音主持（实践）</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vMerge w:val="restart"/>
                  <w:tcBorders>
                    <w:top w:val="nil"/>
                    <w:left w:val="single" w:color="auto" w:sz="4" w:space="0"/>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07182</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电视播音主持</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07183</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电视播音主持（实践）</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7</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14237</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手机媒体概论</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restart"/>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拓</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展</w:t>
                  </w:r>
                </w:p>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8</w:t>
                  </w:r>
                </w:p>
              </w:tc>
              <w:tc>
                <w:tcPr>
                  <w:tcW w:w="604"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tl/>
                    </w:rPr>
                    <w:t>01173</w:t>
                  </w:r>
                </w:p>
              </w:tc>
              <w:tc>
                <w:tcPr>
                  <w:tcW w:w="2442"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影视声音艺术</w:t>
                  </w:r>
                </w:p>
              </w:tc>
              <w:tc>
                <w:tcPr>
                  <w:tcW w:w="367"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421"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restart"/>
                  <w:tcBorders>
                    <w:top w:val="nil"/>
                    <w:left w:val="single" w:color="auto" w:sz="4" w:space="0"/>
                    <w:bottom w:val="single" w:color="000000"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tl/>
                    </w:rPr>
                    <w:t>09344</w:t>
                  </w:r>
                </w:p>
              </w:tc>
              <w:tc>
                <w:tcPr>
                  <w:tcW w:w="2442"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播音创作基础（实践）</w:t>
                  </w:r>
                </w:p>
              </w:tc>
              <w:tc>
                <w:tcPr>
                  <w:tcW w:w="367"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21"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w:t>
                  </w:r>
                </w:p>
              </w:tc>
              <w:tc>
                <w:tcPr>
                  <w:tcW w:w="604"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tl/>
                    </w:rPr>
                    <w:t>13686</w:t>
                  </w:r>
                </w:p>
              </w:tc>
              <w:tc>
                <w:tcPr>
                  <w:tcW w:w="2442"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广播电视写作</w:t>
                  </w:r>
                </w:p>
              </w:tc>
              <w:tc>
                <w:tcPr>
                  <w:tcW w:w="367"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421"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tl w:val="0"/>
                      <w:lang w:val="en-US" w:eastAsia="zh-CN"/>
                    </w:rPr>
                    <w:t>11</w:t>
                  </w:r>
                </w:p>
              </w:tc>
              <w:tc>
                <w:tcPr>
                  <w:tcW w:w="604"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cs="仿宋_GB2312"/>
                      <w:color w:val="000000"/>
                      <w:sz w:val="24"/>
                      <w:szCs w:val="24"/>
                      <w:rtl w:val="0"/>
                      <w:lang w:val="en-US" w:eastAsia="zh-CN"/>
                    </w:rPr>
                    <w:t>13873</w:t>
                  </w:r>
                </w:p>
              </w:tc>
              <w:tc>
                <w:tcPr>
                  <w:tcW w:w="2442"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节目主持艺术（实践）</w:t>
                  </w:r>
                </w:p>
              </w:tc>
              <w:tc>
                <w:tcPr>
                  <w:tcW w:w="367"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21"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vMerge w:val="restart"/>
                  <w:tcBorders>
                    <w:top w:val="nil"/>
                    <w:left w:val="nil"/>
                    <w:right w:val="single" w:color="auto" w:sz="4" w:space="0"/>
                  </w:tcBorders>
                  <w:noWrap/>
                  <w:vAlign w:val="center"/>
                </w:tcPr>
                <w:p>
                  <w:pPr>
                    <w:widowControl/>
                    <w:snapToGrid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tl w:val="0"/>
                      <w:lang w:val="en-US" w:eastAsia="zh-CN"/>
                    </w:rPr>
                    <w:t>12</w:t>
                  </w:r>
                </w:p>
              </w:tc>
              <w:tc>
                <w:tcPr>
                  <w:tcW w:w="604"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14062</w:t>
                  </w:r>
                </w:p>
              </w:tc>
              <w:tc>
                <w:tcPr>
                  <w:tcW w:w="2442"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普通话语音与发声</w:t>
                  </w:r>
                </w:p>
              </w:tc>
              <w:tc>
                <w:tcPr>
                  <w:tcW w:w="367"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421"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vMerge w:val="continue"/>
                  <w:tcBorders>
                    <w:left w:val="single" w:color="auto" w:sz="4" w:space="0"/>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p>
              </w:tc>
              <w:tc>
                <w:tcPr>
                  <w:tcW w:w="604"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14063</w:t>
                  </w:r>
                </w:p>
              </w:tc>
              <w:tc>
                <w:tcPr>
                  <w:tcW w:w="2442"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普通话语音与发声（实践）</w:t>
                  </w:r>
                </w:p>
              </w:tc>
              <w:tc>
                <w:tcPr>
                  <w:tcW w:w="367"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421"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single" w:color="auto" w:sz="4" w:space="0"/>
                    <w:bottom w:val="single" w:color="auto" w:sz="4" w:space="0"/>
                    <w:right w:val="single" w:color="auto" w:sz="4" w:space="0"/>
                  </w:tcBorders>
                  <w:vAlign w:val="center"/>
                </w:tcPr>
                <w:p>
                  <w:pPr>
                    <w:widowControl/>
                    <w:snapToGrid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tl w:val="0"/>
                      <w:lang w:val="en-US" w:eastAsia="zh-CN"/>
                    </w:rPr>
                    <w:t>13</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tl w:val="0"/>
                      <w:lang w:val="en-US" w:eastAsia="zh-CN"/>
                    </w:rPr>
                    <w:t>14570</w:t>
                  </w:r>
                </w:p>
              </w:tc>
              <w:tc>
                <w:tcPr>
                  <w:tcW w:w="2442"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音视频节目策划与制作（实践）</w:t>
                  </w:r>
                </w:p>
              </w:tc>
              <w:tc>
                <w:tcPr>
                  <w:tcW w:w="367"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21" w:type="pct"/>
                  <w:tcBorders>
                    <w:top w:val="nil"/>
                    <w:left w:val="nil"/>
                    <w:bottom w:val="single" w:color="auto" w:sz="4" w:space="0"/>
                    <w:right w:val="single" w:color="auto" w:sz="4" w:space="0"/>
                  </w:tcBorders>
                  <w:noWrap/>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tl w:val="0"/>
                      <w:lang w:val="en-US" w:eastAsia="zh-CN"/>
                    </w:rPr>
                    <w:t>14</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tl w:val="0"/>
                      <w:lang w:val="en-US" w:eastAsia="zh-CN"/>
                    </w:rPr>
                    <w:t>11779</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主持人语言艺术</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49" w:type="pct"/>
                  <w:vMerge w:val="restart"/>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免考英语</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专升本</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替换课程</w:t>
                  </w:r>
                </w:p>
              </w:tc>
            </w:tr>
            <w:tr>
              <w:tblPrEx>
                <w:tblCellMar>
                  <w:top w:w="0" w:type="dxa"/>
                  <w:left w:w="108" w:type="dxa"/>
                  <w:bottom w:w="0" w:type="dxa"/>
                  <w:right w:w="108" w:type="dxa"/>
                </w:tblCellMar>
              </w:tblPrEx>
              <w:trPr>
                <w:trHeight w:val="567" w:hRule="atLeast"/>
                <w:jc w:val="center"/>
              </w:trPr>
              <w:tc>
                <w:tcPr>
                  <w:tcW w:w="247" w:type="pct"/>
                  <w:vMerge w:val="continue"/>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tl w:val="0"/>
                      <w:lang w:val="en-US" w:eastAsia="zh-CN"/>
                    </w:rPr>
                    <w:t>15</w:t>
                  </w:r>
                </w:p>
              </w:tc>
              <w:tc>
                <w:tcPr>
                  <w:tcW w:w="604"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tl w:val="0"/>
                      <w:lang w:val="en-US" w:eastAsia="zh-CN"/>
                    </w:rPr>
                    <w:t>09195</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文艺作品演播</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49" w:type="pct"/>
                  <w:vMerge w:val="continue"/>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247" w:type="pct"/>
                  <w:tcBorders>
                    <w:top w:val="nil"/>
                    <w:left w:val="single" w:color="auto" w:sz="4" w:space="0"/>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c>
                <w:tcPr>
                  <w:tcW w:w="367" w:type="pct"/>
                  <w:tcBorders>
                    <w:top w:val="nil"/>
                    <w:left w:val="nil"/>
                    <w:bottom w:val="single" w:color="auto" w:sz="4" w:space="0"/>
                    <w:right w:val="single" w:color="auto" w:sz="4" w:space="0"/>
                  </w:tcBorders>
                  <w:noWrap/>
                  <w:vAlign w:val="center"/>
                </w:tcPr>
                <w:p>
                  <w:pPr>
                    <w:widowControl/>
                    <w:snapToGrid w:val="0"/>
                    <w:rPr>
                      <w:rFonts w:cs="仿宋_GB2312"/>
                      <w:color w:val="000000"/>
                      <w:sz w:val="24"/>
                      <w:szCs w:val="24"/>
                      <w:rtl/>
                      <w:lang w:val="en-US"/>
                    </w:rPr>
                  </w:pPr>
                  <w:r>
                    <w:rPr>
                      <w:rFonts w:ascii="仿宋_GB2312" w:hAnsi="仿宋_GB2312" w:eastAsia="仿宋_GB2312" w:cs="仿宋_GB2312"/>
                      <w:color w:val="000000"/>
                      <w:sz w:val="24"/>
                      <w:szCs w:val="24"/>
                      <w:lang w:val="en-US"/>
                    </w:rPr>
                    <w:t>16</w:t>
                  </w:r>
                </w:p>
              </w:tc>
              <w:tc>
                <w:tcPr>
                  <w:tcW w:w="604" w:type="pct"/>
                  <w:tcBorders>
                    <w:top w:val="nil"/>
                    <w:left w:val="nil"/>
                    <w:bottom w:val="single" w:color="auto" w:sz="4" w:space="0"/>
                    <w:right w:val="single" w:color="auto" w:sz="4" w:space="0"/>
                  </w:tcBorders>
                  <w:noWrap/>
                  <w:vAlign w:val="center"/>
                </w:tcPr>
                <w:p>
                  <w:pPr>
                    <w:widowControl/>
                    <w:snapToGrid w:val="0"/>
                    <w:rPr>
                      <w:rFonts w:cs="仿宋_GB2312"/>
                      <w:color w:val="000000"/>
                      <w:sz w:val="24"/>
                      <w:szCs w:val="24"/>
                      <w:rtl/>
                    </w:rPr>
                  </w:pPr>
                  <w:r>
                    <w:rPr>
                      <w:rFonts w:ascii="仿宋_GB2312" w:hAnsi="仿宋_GB2312" w:eastAsia="仿宋_GB2312" w:cs="仿宋_GB2312"/>
                      <w:color w:val="000000"/>
                      <w:sz w:val="24"/>
                      <w:szCs w:val="24"/>
                    </w:rPr>
                    <w:t>00000</w:t>
                  </w:r>
                </w:p>
              </w:tc>
              <w:tc>
                <w:tcPr>
                  <w:tcW w:w="2442"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毕业考核（或论文</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综合实践</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实验</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实习等）</w:t>
                  </w:r>
                </w:p>
              </w:tc>
              <w:tc>
                <w:tcPr>
                  <w:tcW w:w="367"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p>
              </w:tc>
              <w:tc>
                <w:tcPr>
                  <w:tcW w:w="421" w:type="pct"/>
                  <w:tcBorders>
                    <w:top w:val="nil"/>
                    <w:left w:val="nil"/>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p>
              </w:tc>
              <w:tc>
                <w:tcPr>
                  <w:tcW w:w="549" w:type="pct"/>
                  <w:tcBorders>
                    <w:top w:val="nil"/>
                    <w:left w:val="single" w:color="auto" w:sz="4" w:space="0"/>
                    <w:bottom w:val="single" w:color="000000" w:sz="4" w:space="0"/>
                    <w:right w:val="single" w:color="auto" w:sz="4" w:space="0"/>
                  </w:tcBorders>
                  <w:vAlign w:val="center"/>
                </w:tcPr>
                <w:p>
                  <w:pPr>
                    <w:widowControl/>
                    <w:snapToGrid w:val="0"/>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567" w:hRule="atLeast"/>
                <w:jc w:val="center"/>
              </w:trPr>
              <w:tc>
                <w:tcPr>
                  <w:tcW w:w="3661" w:type="pct"/>
                  <w:gridSpan w:val="4"/>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总学分</w:t>
                  </w:r>
                </w:p>
              </w:tc>
              <w:tc>
                <w:tcPr>
                  <w:tcW w:w="1338" w:type="pct"/>
                  <w:gridSpan w:val="3"/>
                  <w:tcBorders>
                    <w:top w:val="single" w:color="auto" w:sz="4" w:space="0"/>
                    <w:left w:val="nil"/>
                    <w:bottom w:val="single" w:color="auto" w:sz="4" w:space="0"/>
                    <w:right w:val="single" w:color="000000" w:sz="4" w:space="0"/>
                  </w:tcBorders>
                  <w:noWrap/>
                  <w:vAlign w:val="center"/>
                </w:tcPr>
                <w:p>
                  <w:pPr>
                    <w:widowControl/>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71</w:t>
                  </w:r>
                </w:p>
              </w:tc>
            </w:tr>
          </w:tbl>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五、主要课程说明</w:t>
            </w:r>
          </w:p>
          <w:p>
            <w:pPr>
              <w:snapToGrid w:val="0"/>
              <w:spacing w:line="360" w:lineRule="auto"/>
              <w:ind w:firstLine="562" w:firstLineChars="200"/>
              <w:jc w:val="left"/>
              <w:rPr>
                <w:rFonts w:ascii="仿宋_GB2312" w:hAnsi="仿宋_GB2312" w:eastAsia="仿宋_GB2312" w:cs="仿宋_GB2312"/>
                <w:b/>
                <w:bCs/>
                <w:color w:val="000000"/>
                <w:sz w:val="28"/>
                <w:szCs w:val="28"/>
              </w:rPr>
            </w:pPr>
            <w:r>
              <w:rPr>
                <w:rFonts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rPr>
              <w:t>普通话语音与发声</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本课程主要内容为掌握普通话中的语音和主要的语音现象、</w:t>
            </w:r>
            <w:r>
              <w:rPr>
                <w:rFonts w:hint="eastAsia" w:ascii="仿宋_GB2312" w:hAnsi="仿宋_GB2312" w:eastAsia="仿宋_GB2312" w:cs="仿宋_GB2312"/>
                <w:color w:val="000000"/>
                <w:sz w:val="28"/>
                <w:szCs w:val="28"/>
                <w:lang w:eastAsia="zh-CN"/>
              </w:rPr>
              <w:t>普通话</w:t>
            </w:r>
            <w:r>
              <w:rPr>
                <w:rFonts w:hint="eastAsia" w:ascii="仿宋_GB2312" w:hAnsi="仿宋_GB2312" w:eastAsia="仿宋_GB2312" w:cs="仿宋_GB2312"/>
                <w:color w:val="000000"/>
                <w:sz w:val="28"/>
                <w:szCs w:val="28"/>
              </w:rPr>
              <w:t>发声技能和语言表达、了解和掌握普通话的发声技能和语言表达技巧以及不正确的普通话语音发声方法的纠正。通过学习本课程，使学生提高普通语音水平，掌握口语交流技巧。</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rPr>
              <w:t>即兴口语表达</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本课程主要内容为掌握即兴口语</w:t>
            </w:r>
            <w:r>
              <w:rPr>
                <w:rFonts w:hint="eastAsia" w:ascii="仿宋_GB2312" w:hAnsi="仿宋_GB2312" w:eastAsia="仿宋_GB2312" w:cs="仿宋_GB2312"/>
                <w:color w:val="000000"/>
                <w:sz w:val="28"/>
                <w:szCs w:val="28"/>
                <w:lang w:eastAsia="zh-CN"/>
              </w:rPr>
              <w:t>表达</w:t>
            </w:r>
            <w:r>
              <w:rPr>
                <w:rFonts w:hint="eastAsia" w:ascii="仿宋_GB2312" w:hAnsi="仿宋_GB2312" w:eastAsia="仿宋_GB2312" w:cs="仿宋_GB2312"/>
                <w:color w:val="000000"/>
                <w:sz w:val="28"/>
                <w:szCs w:val="28"/>
              </w:rPr>
              <w:t>的概念、内容和技巧，加深对即兴口语</w:t>
            </w:r>
            <w:r>
              <w:rPr>
                <w:rFonts w:hint="eastAsia" w:ascii="仿宋_GB2312" w:hAnsi="仿宋_GB2312" w:eastAsia="仿宋_GB2312" w:cs="仿宋_GB2312"/>
                <w:color w:val="000000"/>
                <w:sz w:val="28"/>
                <w:szCs w:val="28"/>
                <w:lang w:eastAsia="zh-CN"/>
              </w:rPr>
              <w:t>表达</w:t>
            </w:r>
            <w:r>
              <w:rPr>
                <w:rFonts w:hint="eastAsia" w:ascii="仿宋_GB2312" w:hAnsi="仿宋_GB2312" w:eastAsia="仿宋_GB2312" w:cs="仿宋_GB2312"/>
                <w:color w:val="000000"/>
                <w:sz w:val="28"/>
                <w:szCs w:val="28"/>
              </w:rPr>
              <w:t>理解，加强创造性思维，掌握不同场合的即兴表达方法和依据，培养随机应变的能力。通过学习本课程，使学生具有相当能力程度的语言组织能力、逻辑思维能力、即兴主持和即兴演说能力、应变能力。</w:t>
            </w:r>
          </w:p>
          <w:p>
            <w:pPr>
              <w:snapToGrid w:val="0"/>
              <w:spacing w:line="360" w:lineRule="auto"/>
              <w:ind w:firstLine="562" w:firstLineChars="200"/>
              <w:jc w:val="left"/>
              <w:rPr>
                <w:rFonts w:ascii="仿宋_GB2312" w:hAnsi="仿宋_GB2312" w:eastAsia="仿宋_GB2312" w:cs="仿宋_GB2312"/>
                <w:b/>
                <w:bCs/>
                <w:color w:val="000000"/>
                <w:sz w:val="28"/>
                <w:szCs w:val="28"/>
              </w:rPr>
            </w:pPr>
            <w:r>
              <w:rPr>
                <w:rFonts w:ascii="仿宋_GB2312" w:hAnsi="仿宋_GB2312" w:eastAsia="仿宋_GB2312" w:cs="仿宋_GB2312"/>
                <w:b/>
                <w:bCs/>
                <w:color w:val="000000"/>
                <w:sz w:val="28"/>
                <w:szCs w:val="28"/>
              </w:rPr>
              <w:t>3.</w:t>
            </w:r>
            <w:r>
              <w:rPr>
                <w:rFonts w:hint="eastAsia" w:ascii="仿宋_GB2312" w:hAnsi="仿宋_GB2312" w:eastAsia="仿宋_GB2312" w:cs="仿宋_GB2312"/>
                <w:b/>
                <w:bCs/>
                <w:color w:val="000000"/>
                <w:sz w:val="28"/>
                <w:szCs w:val="28"/>
              </w:rPr>
              <w:t>广播播音主持</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通过理论讲授和节目案例分析使学生了解广播节目策划、编辑、制作的生产规律，并能独立完成广播节目的制播任务。通过学习本课程，使学生具备撰写和修改电视节目导语、串联语、文稿的能力；具有现场报道的叙述、采访、评论、应变等能力；初步具有驾驭不同电视节目的策划、主持播出能力。</w:t>
            </w:r>
          </w:p>
          <w:p>
            <w:pPr>
              <w:snapToGrid w:val="0"/>
              <w:spacing w:line="360" w:lineRule="auto"/>
              <w:ind w:firstLine="562" w:firstLineChars="200"/>
              <w:jc w:val="left"/>
              <w:rPr>
                <w:rFonts w:ascii="仿宋_GB2312" w:hAnsi="仿宋_GB2312" w:eastAsia="仿宋_GB2312" w:cs="仿宋_GB2312"/>
                <w:b/>
                <w:bCs/>
                <w:color w:val="000000"/>
                <w:sz w:val="28"/>
                <w:szCs w:val="28"/>
              </w:rPr>
            </w:pPr>
            <w:r>
              <w:rPr>
                <w:rFonts w:ascii="仿宋_GB2312" w:hAnsi="仿宋_GB2312" w:eastAsia="仿宋_GB2312" w:cs="仿宋_GB2312"/>
                <w:b/>
                <w:bCs/>
                <w:color w:val="000000"/>
                <w:sz w:val="28"/>
                <w:szCs w:val="28"/>
              </w:rPr>
              <w:t>4.</w:t>
            </w:r>
            <w:r>
              <w:rPr>
                <w:rFonts w:hint="eastAsia" w:ascii="仿宋_GB2312" w:hAnsi="仿宋_GB2312" w:eastAsia="仿宋_GB2312" w:cs="仿宋_GB2312"/>
                <w:b/>
                <w:bCs/>
                <w:color w:val="000000"/>
                <w:sz w:val="28"/>
                <w:szCs w:val="28"/>
              </w:rPr>
              <w:t>电视播音主持</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电视节目播音主持的创作规律、创作原则、创作特点、相关理论知识及要求；使学生认识、掌握不同内容、不同类型、不同形态电视节目的创作手段和创作方法。通过学习本课程，使学生具备撰写和修改电视节目导语、串联语、文稿的能力；具有现场报道的叙述、采访、评论、应变等能力；初步具有驾驭不同电视节目的策划、主持播出能力。</w:t>
            </w:r>
          </w:p>
          <w:p>
            <w:pPr>
              <w:adjustRightInd w:val="0"/>
              <w:snapToGrid w:val="0"/>
              <w:spacing w:line="360" w:lineRule="auto"/>
              <w:ind w:firstLine="562" w:firstLineChars="200"/>
              <w:jc w:val="left"/>
              <w:rPr>
                <w:rFonts w:hint="default" w:ascii="仿宋_GB2312" w:hAnsi="仿宋_GB2312" w:eastAsia="仿宋_GB2312" w:cs="仿宋_GB2312"/>
                <w:b/>
                <w:bCs/>
                <w:color w:val="000000"/>
                <w:sz w:val="28"/>
                <w:szCs w:val="28"/>
                <w:lang w:val="en-US" w:eastAsia="zh-CN"/>
              </w:rPr>
            </w:pPr>
            <w:r>
              <w:rPr>
                <w:rFonts w:ascii="仿宋_GB2312" w:hAnsi="仿宋_GB2312" w:eastAsia="仿宋_GB2312" w:cs="仿宋_GB2312"/>
                <w:b/>
                <w:bCs/>
                <w:color w:val="000000"/>
                <w:sz w:val="28"/>
                <w:szCs w:val="28"/>
              </w:rPr>
              <w:t>5.</w:t>
            </w:r>
            <w:r>
              <w:rPr>
                <w:rFonts w:hint="eastAsia" w:ascii="仿宋_GB2312" w:hAnsi="仿宋_GB2312" w:eastAsia="仿宋_GB2312" w:cs="仿宋_GB2312"/>
                <w:b/>
                <w:bCs/>
                <w:color w:val="000000"/>
                <w:sz w:val="28"/>
                <w:szCs w:val="28"/>
                <w:lang w:val="en-US" w:eastAsia="zh-CN"/>
              </w:rPr>
              <w:t>影视声音艺术</w:t>
            </w:r>
          </w:p>
          <w:p>
            <w:pPr>
              <w:adjustRightInd w:val="0"/>
              <w:snapToGrid w:val="0"/>
              <w:spacing w:line="360" w:lineRule="auto"/>
              <w:ind w:firstLine="560" w:firstLineChars="200"/>
              <w:jc w:val="left"/>
              <w:rPr>
                <w:rFonts w:hint="eastAsia" w:ascii="仿宋_GB2312" w:hAnsi="仿宋_GB2312" w:eastAsia="仿宋_GB2312" w:cs="仿宋_GB2312"/>
                <w:color w:val="000000"/>
                <w:sz w:val="28"/>
                <w:szCs w:val="28"/>
                <w:rtl/>
              </w:rPr>
            </w:pPr>
            <w:r>
              <w:rPr>
                <w:rFonts w:hint="eastAsia" w:ascii="仿宋_GB2312" w:hAnsi="仿宋_GB2312" w:eastAsia="仿宋_GB2312" w:cs="仿宋_GB2312"/>
                <w:color w:val="000000"/>
                <w:sz w:val="28"/>
                <w:szCs w:val="28"/>
              </w:rPr>
              <w:t>本课程主要内容为着重介绍、讲解如何为各类影视作品配音，包括电视栏目、纪录片、广告、电影、动画片等作品的配音方法，讲解各类影视配音的创作要素、配音方法及技巧。通过学习本课程，</w:t>
            </w:r>
            <w:r>
              <w:rPr>
                <w:rFonts w:hint="eastAsia" w:ascii="仿宋_GB2312" w:hAnsi="仿宋_GB2312" w:eastAsia="仿宋_GB2312" w:cs="仿宋_GB2312"/>
                <w:color w:val="000000"/>
                <w:sz w:val="28"/>
                <w:szCs w:val="28"/>
                <w:rtl w:val="0"/>
                <w:lang w:val="en-US" w:eastAsia="zh-CN"/>
              </w:rPr>
              <w:t>使学生对语言基础发音和影视作品特征有一定的了解，并在此基础上独立完成配音创作。基础上</w:t>
            </w:r>
            <w:r>
              <w:rPr>
                <w:rFonts w:hint="eastAsia" w:ascii="仿宋_GB2312" w:hAnsi="仿宋_GB2312" w:eastAsia="仿宋_GB2312" w:cs="仿宋_GB2312"/>
                <w:color w:val="000000"/>
                <w:sz w:val="28"/>
                <w:szCs w:val="28"/>
                <w:rtl/>
              </w:rPr>
              <w:t>独立完成配音创作。</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ascii="仿宋_GB2312" w:hAnsi="仿宋_GB2312" w:eastAsia="仿宋_GB2312" w:cs="仿宋_GB2312"/>
                <w:b/>
                <w:bCs/>
                <w:color w:val="000000"/>
                <w:sz w:val="28"/>
                <w:szCs w:val="28"/>
              </w:rPr>
              <w:t>6.</w:t>
            </w:r>
            <w:r>
              <w:rPr>
                <w:rFonts w:hint="eastAsia" w:ascii="仿宋_GB2312" w:hAnsi="仿宋_GB2312" w:eastAsia="仿宋_GB2312" w:cs="仿宋_GB2312"/>
                <w:b/>
                <w:bCs/>
                <w:color w:val="000000"/>
                <w:sz w:val="28"/>
                <w:szCs w:val="28"/>
              </w:rPr>
              <w:t>广播电视写作</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了解为广播电视的定义、分类、特性，并掌握应用写作理论，系统掌握实用类文章的实际用途及其写作要领。通过学习本课程，使学生具备良好能力和文章分析与处理能力，掌握各类文书主题写作的方法和技巧。</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ascii="仿宋_GB2312" w:hAnsi="仿宋_GB2312" w:eastAsia="仿宋_GB2312" w:cs="仿宋_GB2312"/>
                <w:b/>
                <w:bCs/>
                <w:color w:val="000000"/>
                <w:sz w:val="28"/>
                <w:szCs w:val="28"/>
              </w:rPr>
              <w:t>7.</w:t>
            </w:r>
            <w:r>
              <w:rPr>
                <w:rFonts w:hint="eastAsia" w:ascii="仿宋_GB2312" w:hAnsi="仿宋_GB2312" w:eastAsia="仿宋_GB2312" w:cs="仿宋_GB2312"/>
                <w:b/>
                <w:bCs/>
                <w:color w:val="000000"/>
                <w:sz w:val="28"/>
                <w:szCs w:val="28"/>
                <w:lang w:val="en-US" w:eastAsia="zh-CN"/>
              </w:rPr>
              <w:t>主持人语言艺术</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本课程主要内容为主持人语言艺术基础理论，主持语言艺术基本规律，创作方法和内外部技巧。通过学习本课程，培养并提高学生的主持素质，提高主持人驾驭现场的能力，强化</w:t>
            </w:r>
            <w:r>
              <w:rPr>
                <w:rFonts w:hint="eastAsia" w:ascii="仿宋_GB2312" w:hAnsi="仿宋_GB2312" w:eastAsia="仿宋_GB2312" w:cs="仿宋_GB2312"/>
                <w:color w:val="000000"/>
                <w:sz w:val="28"/>
                <w:szCs w:val="28"/>
                <w:lang w:eastAsia="zh-CN"/>
              </w:rPr>
              <w:t>语言能力</w:t>
            </w:r>
            <w:r>
              <w:rPr>
                <w:rFonts w:hint="eastAsia" w:ascii="仿宋_GB2312" w:hAnsi="仿宋_GB2312" w:eastAsia="仿宋_GB2312" w:cs="仿宋_GB2312"/>
                <w:color w:val="000000"/>
                <w:sz w:val="28"/>
                <w:szCs w:val="28"/>
              </w:rPr>
              <w:t>，丰满主持人形象。</w:t>
            </w:r>
          </w:p>
          <w:p>
            <w:pPr>
              <w:adjustRightInd w:val="0"/>
              <w:snapToGrid w:val="0"/>
              <w:spacing w:line="360" w:lineRule="auto"/>
              <w:ind w:firstLine="562" w:firstLineChars="200"/>
              <w:jc w:val="left"/>
              <w:rPr>
                <w:rFonts w:ascii="仿宋_GB2312" w:hAnsi="仿宋_GB2312" w:eastAsia="仿宋_GB2312" w:cs="仿宋_GB2312"/>
                <w:b/>
                <w:bCs/>
                <w:color w:val="000000"/>
                <w:sz w:val="28"/>
                <w:szCs w:val="28"/>
              </w:rPr>
            </w:pPr>
            <w:r>
              <w:rPr>
                <w:rFonts w:ascii="仿宋_GB2312" w:hAnsi="仿宋_GB2312" w:eastAsia="仿宋_GB2312" w:cs="仿宋_GB2312"/>
                <w:b/>
                <w:bCs/>
                <w:color w:val="000000"/>
                <w:sz w:val="28"/>
                <w:szCs w:val="28"/>
              </w:rPr>
              <w:t>8.</w:t>
            </w:r>
            <w:r>
              <w:rPr>
                <w:rFonts w:hint="eastAsia" w:ascii="仿宋_GB2312" w:hAnsi="仿宋_GB2312" w:eastAsia="仿宋_GB2312" w:cs="仿宋_GB2312"/>
                <w:b/>
                <w:bCs/>
                <w:color w:val="000000"/>
                <w:sz w:val="28"/>
                <w:szCs w:val="28"/>
                <w:lang w:val="en-US" w:eastAsia="zh-CN"/>
              </w:rPr>
              <w:t>文艺作品演播</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语言学和艺术学的相关知识，以有声语言表达为核心，以文艺作品的播读训练为主要方式，主要介绍诗歌、散文、寓言故事、小说、广播剧、影视剧配音等。通过学习本课程，使学生较为全面、系统</w:t>
            </w:r>
            <w:r>
              <w:rPr>
                <w:rFonts w:hint="eastAsia" w:ascii="仿宋_GB2312" w:hAnsi="仿宋_GB2312" w:eastAsia="仿宋_GB2312" w:cs="仿宋_GB2312"/>
                <w:color w:val="000000"/>
                <w:sz w:val="28"/>
                <w:szCs w:val="28"/>
                <w:lang w:eastAsia="zh-CN"/>
              </w:rPr>
              <w:t>地</w:t>
            </w:r>
            <w:r>
              <w:rPr>
                <w:rFonts w:hint="eastAsia" w:ascii="仿宋_GB2312" w:hAnsi="仿宋_GB2312" w:eastAsia="仿宋_GB2312" w:cs="仿宋_GB2312"/>
                <w:color w:val="000000"/>
                <w:sz w:val="28"/>
                <w:szCs w:val="28"/>
              </w:rPr>
              <w:t>掌握文艺类作品的演播技巧。</w:t>
            </w:r>
          </w:p>
          <w:p>
            <w:pPr>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含实践的课程及实践所占学分：</w:t>
            </w:r>
            <w:r>
              <w:rPr>
                <w:rFonts w:hint="eastAsia" w:ascii="仿宋_GB2312" w:hAnsi="仿宋_GB2312" w:eastAsia="仿宋_GB2312" w:cs="仿宋_GB2312"/>
                <w:color w:val="000000"/>
                <w:sz w:val="28"/>
                <w:szCs w:val="28"/>
                <w:lang w:val="en-US" w:eastAsia="zh-CN"/>
              </w:rPr>
              <w:t>普通话语音与发声（实践）</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w:t>
            </w:r>
            <w:r>
              <w:rPr>
                <w:rFonts w:hint="eastAsia" w:ascii="仿宋_GB2312" w:hAnsi="仿宋_GB2312" w:eastAsia="仿宋_GB2312" w:cs="仿宋_GB2312"/>
                <w:color w:val="000000"/>
                <w:sz w:val="28"/>
                <w:szCs w:val="28"/>
                <w:lang w:val="en-US" w:eastAsia="zh-CN"/>
              </w:rPr>
              <w:t>即兴口语表达（实践）</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学分、</w:t>
            </w:r>
            <w:r>
              <w:rPr>
                <w:rFonts w:hint="eastAsia" w:ascii="仿宋_GB2312" w:hAnsi="仿宋_GB2312" w:eastAsia="仿宋_GB2312" w:cs="仿宋_GB2312"/>
                <w:color w:val="000000"/>
                <w:sz w:val="28"/>
                <w:szCs w:val="28"/>
                <w:lang w:val="en-US" w:eastAsia="zh-CN"/>
              </w:rPr>
              <w:t>广播播音主持（实践）</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学分、</w:t>
            </w:r>
            <w:r>
              <w:rPr>
                <w:rFonts w:hint="eastAsia" w:eastAsia="仿宋_GB2312" w:cs="仿宋_GB2312"/>
                <w:color w:val="000000"/>
                <w:sz w:val="28"/>
                <w:szCs w:val="28"/>
                <w:rtl w:val="0"/>
                <w:lang w:val="en-US" w:eastAsia="zh-CN"/>
              </w:rPr>
              <w:t>电视播音主持（实践）</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学分、</w:t>
            </w:r>
            <w:r>
              <w:rPr>
                <w:rFonts w:hint="eastAsia" w:eastAsia="仿宋_GB2312" w:cs="仿宋_GB2312"/>
                <w:color w:val="000000"/>
                <w:sz w:val="28"/>
                <w:szCs w:val="28"/>
                <w:rtl w:val="0"/>
                <w:lang w:val="en-US" w:eastAsia="zh-CN"/>
              </w:rPr>
              <w:t>节目主持艺术（实践）</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学分、</w:t>
            </w:r>
            <w:r>
              <w:rPr>
                <w:rFonts w:hint="eastAsia" w:eastAsia="仿宋_GB2312" w:cs="仿宋_GB2312"/>
                <w:color w:val="000000"/>
                <w:sz w:val="28"/>
                <w:szCs w:val="28"/>
                <w:rtl w:val="0"/>
                <w:lang w:val="en-US" w:eastAsia="zh-CN"/>
              </w:rPr>
              <w:t>播音创作基础（实践）</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学分、</w:t>
            </w:r>
            <w:r>
              <w:rPr>
                <w:rFonts w:hint="eastAsia" w:eastAsia="仿宋_GB2312" w:cs="仿宋_GB2312"/>
                <w:color w:val="000000"/>
                <w:sz w:val="28"/>
                <w:szCs w:val="28"/>
                <w:rtl w:val="0"/>
                <w:lang w:val="en-US" w:eastAsia="zh-CN"/>
              </w:rPr>
              <w:t>音视频节目策划与制作（实践）</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学分，实践类课程总学分为</w:t>
            </w:r>
            <w:r>
              <w:rPr>
                <w:rFonts w:ascii="仿宋_GB2312" w:hAnsi="仿宋_GB2312" w:eastAsia="仿宋_GB2312" w:cs="仿宋_GB2312"/>
                <w:color w:val="000000"/>
                <w:sz w:val="28"/>
                <w:szCs w:val="28"/>
              </w:rPr>
              <w:t>35</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cs="仿宋_GB2312"/>
                <w:color w:val="000000"/>
                <w:sz w:val="28"/>
                <w:szCs w:val="28"/>
                <w:rtl/>
              </w:rPr>
            </w:pPr>
            <w:r>
              <w:rPr>
                <w:rFonts w:hint="eastAsia" w:ascii="仿宋_GB2312" w:hAnsi="仿宋_GB2312" w:eastAsia="仿宋_GB2312" w:cs="仿宋_GB2312"/>
                <w:color w:val="000000"/>
                <w:sz w:val="28"/>
                <w:szCs w:val="28"/>
                <w:rtl w:val="0"/>
                <w:lang w:val="en-US" w:eastAsia="zh-CN"/>
              </w:rPr>
              <w:t>2.毕业设计或毕业论文。</w:t>
            </w:r>
            <w:r>
              <w:rPr>
                <w:rFonts w:hint="eastAsia" w:cs="仿宋_GB2312"/>
                <w:color w:val="000000"/>
                <w:sz w:val="28"/>
                <w:szCs w:val="28"/>
                <w:rtl/>
              </w:rPr>
              <w:t>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rPr>
                <w:rFonts w:ascii="仿宋" w:hAnsi="仿宋" w:eastAsia="仿宋" w:cs="仿宋"/>
                <w:color w:val="000000"/>
                <w:sz w:val="28"/>
                <w:szCs w:val="28"/>
              </w:rPr>
            </w:pPr>
            <w:r>
              <w:rPr>
                <w:rFonts w:hint="eastAsia" w:cs="仿宋_GB2312"/>
                <w:color w:val="000000"/>
                <w:sz w:val="28"/>
                <w:szCs w:val="28"/>
                <w:rtl w:val="0"/>
                <w:lang w:val="en-US" w:eastAsia="zh-CN"/>
              </w:rPr>
              <w:t>无</w:t>
            </w:r>
            <w:r>
              <w:rPr>
                <w:rFonts w:hint="eastAsia" w:ascii="仿宋_GB2312" w:hAnsi="仿宋_GB2312" w:eastAsia="仿宋_GB2312" w:cs="仿宋_GB2312"/>
                <w:color w:val="000000"/>
                <w:sz w:val="28"/>
                <w:szCs w:val="28"/>
              </w:rPr>
              <w:t>。</w:t>
            </w:r>
          </w:p>
          <w:p>
            <w:pPr>
              <w:pStyle w:val="4"/>
              <w:rPr>
                <w:rFonts w:ascii="仿宋" w:hAnsi="仿宋" w:eastAsia="仿宋" w:cs="仿宋"/>
                <w:color w:val="000000"/>
                <w:sz w:val="28"/>
                <w:szCs w:val="28"/>
              </w:rPr>
            </w:pPr>
          </w:p>
          <w:p>
            <w:pPr>
              <w:pStyle w:val="4"/>
              <w:rPr>
                <w:rFonts w:ascii="仿宋" w:hAnsi="仿宋" w:eastAsia="仿宋" w:cs="仿宋"/>
                <w:color w:val="000000"/>
                <w:sz w:val="28"/>
                <w:szCs w:val="28"/>
              </w:rPr>
            </w:pPr>
          </w:p>
          <w:p>
            <w:pPr>
              <w:pStyle w:val="4"/>
              <w:rPr>
                <w:rFonts w:ascii="仿宋" w:hAnsi="仿宋" w:eastAsia="仿宋" w:cs="仿宋"/>
                <w:color w:val="000000"/>
                <w:sz w:val="28"/>
                <w:szCs w:val="28"/>
              </w:rPr>
            </w:pPr>
          </w:p>
          <w:p>
            <w:pPr>
              <w:pStyle w:val="4"/>
              <w:rPr>
                <w:rFonts w:ascii="仿宋" w:hAnsi="仿宋" w:eastAsia="仿宋" w:cs="仿宋"/>
                <w:color w:val="000000"/>
                <w:sz w:val="28"/>
                <w:szCs w:val="28"/>
              </w:rPr>
            </w:pPr>
          </w:p>
          <w:p>
            <w:pPr>
              <w:adjustRightInd w:val="0"/>
              <w:snapToGrid w:val="0"/>
              <w:spacing w:line="500" w:lineRule="exact"/>
              <w:ind w:firstLine="420" w:firstLineChars="200"/>
            </w:pPr>
          </w:p>
          <w:p>
            <w:pPr>
              <w:pStyle w:val="4"/>
              <w:rPr>
                <w:rFonts w:ascii="Times New Roman" w:hAnsi="Times New Roman" w:eastAsia="微软雅黑"/>
                <w:b/>
                <w:bCs/>
                <w:sz w:val="30"/>
                <w:szCs w:val="30"/>
              </w:rPr>
            </w:pPr>
          </w:p>
          <w:p>
            <w:pPr>
              <w:pStyle w:val="4"/>
              <w:rPr>
                <w:rFonts w:ascii="Times New Roman" w:hAnsi="Times New Roman" w:eastAsia="微软雅黑"/>
                <w:b/>
                <w:bCs/>
                <w:sz w:val="30"/>
                <w:szCs w:val="30"/>
              </w:rPr>
            </w:pPr>
          </w:p>
        </w:tc>
      </w:tr>
    </w:tbl>
    <w:p>
      <w:pPr>
        <w:pStyle w:val="2"/>
        <w:bidi w:val="0"/>
        <w:rPr>
          <w:rFonts w:hint="eastAsia" w:ascii="Times New Roman" w:hAnsi="Times New Roman"/>
        </w:rPr>
      </w:pPr>
      <w:r>
        <w:rPr>
          <w:rFonts w:hint="eastAsia" w:ascii="Times New Roman" w:hAnsi="Times New Roman"/>
          <w:lang w:eastAsia="zh-Hans"/>
        </w:rPr>
        <w:t>播音与主持艺术</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130309</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88"/>
        <w:gridCol w:w="4818"/>
        <w:gridCol w:w="882"/>
        <w:gridCol w:w="1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58"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07176</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即兴口语表达</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07177</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即兴口语表达（实践）</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07180</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广播播音主持</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07181</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广播播音主持（实践）</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07182</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电视播音主持</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07183</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电视播音主持（实践）</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14062</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普通话语音与发声</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14063</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普通话语音与发声（实践）</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14237</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手机媒体概论</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英语（专升本）</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中国近现代史纲要</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马克思主义基本原理概论</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01173</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影视声音艺术</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09344</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播音创作基础（实践）</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13686</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广播电视写作</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13873</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节目主持艺术（实践）</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14570</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音视频节目策划与制作（实践）</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tl/>
                <w:lang w:val="en-US" w:eastAsia="zh-CN"/>
              </w:rPr>
            </w:pPr>
            <w:r>
              <w:rPr>
                <w:rFonts w:hint="eastAsia" w:ascii="Times New Roman" w:hAnsi="Times New Roman" w:eastAsia="宋体" w:cs="宋体"/>
                <w:color w:val="auto"/>
                <w:kern w:val="0"/>
                <w:sz w:val="18"/>
                <w:szCs w:val="18"/>
                <w:lang w:val="en-US" w:eastAsia="zh-CN"/>
              </w:rPr>
              <w:t>09195</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tl/>
                <w:lang w:val="en-US" w:eastAsia="zh-CN"/>
              </w:rPr>
            </w:pPr>
            <w:r>
              <w:rPr>
                <w:rFonts w:hint="eastAsia" w:ascii="Times New Roman" w:hAnsi="Times New Roman" w:eastAsia="宋体" w:cs="宋体"/>
                <w:color w:val="auto"/>
                <w:kern w:val="0"/>
                <w:sz w:val="18"/>
                <w:szCs w:val="18"/>
                <w:lang w:val="en-US" w:eastAsia="zh-CN"/>
              </w:rPr>
              <w:t>文艺作品演播</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tl/>
                <w:lang w:val="en-US" w:eastAsia="zh-CN"/>
              </w:rPr>
            </w:pPr>
            <w:r>
              <w:rPr>
                <w:rFonts w:hint="eastAsia" w:ascii="Times New Roman" w:hAnsi="Times New Roman" w:eastAsia="宋体" w:cs="宋体"/>
                <w:color w:val="auto"/>
                <w:kern w:val="0"/>
                <w:sz w:val="18"/>
                <w:szCs w:val="18"/>
                <w:lang w:val="en-US" w:eastAsia="zh-CN"/>
              </w:rPr>
              <w:t>5</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rtl/>
                <w:lang w:val="en-US" w:eastAsia="zh-CN"/>
              </w:rPr>
              <w:t>11779</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主持人语言艺术</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0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毕业考核（或论文\综合实践\实验\实习等）</w:t>
            </w:r>
          </w:p>
        </w:tc>
        <w:tc>
          <w:tcPr>
            <w:tcW w:w="458"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Hans"/>
        </w:rPr>
        <w:t>播音与主持艺术</w:t>
      </w:r>
      <w:r>
        <w:rPr>
          <w:rFonts w:hint="eastAsia" w:ascii="Times New Roman" w:hAnsi="Times New Roman"/>
          <w:lang w:val="en-US" w:eastAsia="zh-CN"/>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62"/>
        <w:gridCol w:w="2425"/>
        <w:gridCol w:w="633"/>
        <w:gridCol w:w="676"/>
        <w:gridCol w:w="704"/>
        <w:gridCol w:w="2475"/>
        <w:gridCol w:w="641"/>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播音与主持（专升本），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050310</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Hans"/>
              </w:rPr>
              <w:t>播音与主持艺术</w:t>
            </w:r>
            <w:r>
              <w:rPr>
                <w:rFonts w:hint="eastAsia" w:ascii="Times New Roman" w:hAnsi="Times New Roman" w:eastAsia="黑体" w:cs="黑体"/>
                <w:color w:val="auto"/>
                <w:kern w:val="0"/>
                <w:sz w:val="18"/>
                <w:szCs w:val="18"/>
                <w:lang w:val="en-US" w:eastAsia="zh-CN"/>
              </w:rPr>
              <w:t>（专升本），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130309</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00504</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艺术概论</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英语（专升本）</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00537</w:t>
            </w:r>
          </w:p>
        </w:tc>
        <w:tc>
          <w:tcPr>
            <w:tcW w:w="126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中国现代文学史</w:t>
            </w:r>
          </w:p>
        </w:tc>
        <w:tc>
          <w:tcPr>
            <w:tcW w:w="328"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07180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广播播音主持</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sz w:val="18"/>
                <w:szCs w:val="18"/>
              </w:rPr>
            </w:pPr>
          </w:p>
        </w:tc>
        <w:tc>
          <w:tcPr>
            <w:tcW w:w="126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sz w:val="18"/>
                <w:szCs w:val="18"/>
              </w:rPr>
            </w:pPr>
          </w:p>
        </w:tc>
        <w:tc>
          <w:tcPr>
            <w:tcW w:w="328"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sz w:val="18"/>
                <w:szCs w:val="18"/>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07181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广播播音主持（实践）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00642</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传播学概论</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14237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手机媒体概论</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00654</w:t>
            </w:r>
          </w:p>
        </w:tc>
        <w:tc>
          <w:tcPr>
            <w:tcW w:w="126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新闻采访写作</w:t>
            </w:r>
          </w:p>
        </w:tc>
        <w:tc>
          <w:tcPr>
            <w:tcW w:w="328"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10</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14062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普通话语音与发声</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sz w:val="18"/>
                <w:szCs w:val="18"/>
              </w:rPr>
            </w:pPr>
          </w:p>
        </w:tc>
        <w:tc>
          <w:tcPr>
            <w:tcW w:w="126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sz w:val="18"/>
                <w:szCs w:val="18"/>
              </w:rPr>
            </w:pPr>
          </w:p>
        </w:tc>
        <w:tc>
          <w:tcPr>
            <w:tcW w:w="328"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sz w:val="18"/>
                <w:szCs w:val="18"/>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14063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普通话语音与发声（实践）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00658</w:t>
            </w:r>
          </w:p>
        </w:tc>
        <w:tc>
          <w:tcPr>
            <w:tcW w:w="126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新闻评论写作</w:t>
            </w:r>
          </w:p>
        </w:tc>
        <w:tc>
          <w:tcPr>
            <w:tcW w:w="328"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07182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电视播音主持</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sz w:val="18"/>
                <w:szCs w:val="18"/>
              </w:rPr>
            </w:pPr>
          </w:p>
        </w:tc>
        <w:tc>
          <w:tcPr>
            <w:tcW w:w="126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sz w:val="18"/>
                <w:szCs w:val="18"/>
              </w:rPr>
            </w:pPr>
          </w:p>
        </w:tc>
        <w:tc>
          <w:tcPr>
            <w:tcW w:w="328"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sz w:val="18"/>
                <w:szCs w:val="18"/>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07183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电视播音主持（实践）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00541</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语言学概论</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01173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影视声音艺术</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07176</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即兴口语表达</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07176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即兴口语表达</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07177</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即兴口语表达（实践）</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3</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07177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即兴口语表达（实践）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07175</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节目主持人文案写作</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14570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音视频节目策划与制作（实践）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07173</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播音与主持创作基础</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广播电视写作</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07174</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播音与主持创作基础（实践）</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09344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播音创作基础（实践）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09195</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文艺作品演播</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13873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节目主持艺术（实践）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11779</w:t>
            </w:r>
          </w:p>
        </w:tc>
        <w:tc>
          <w:tcPr>
            <w:tcW w:w="126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主持人语言艺术</w:t>
            </w:r>
          </w:p>
        </w:tc>
        <w:tc>
          <w:tcPr>
            <w:tcW w:w="328"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sectPr>
          <w:pgSz w:w="11906" w:h="16838"/>
          <w:pgMar w:top="1440" w:right="1247" w:bottom="1440"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播音与主持艺术（专升本）专业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1770"/>
        <w:gridCol w:w="975"/>
        <w:gridCol w:w="840"/>
        <w:gridCol w:w="2340"/>
        <w:gridCol w:w="2925"/>
        <w:gridCol w:w="1815"/>
        <w:gridCol w:w="1530"/>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07176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即兴口语表达</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主持人即兴口语训练</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应天常、王婷</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07177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即兴口语表达（实践）</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07180</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广播播音主持</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广播节目播音主持</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中国传媒大学播音与主持艺术学院编著</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07181</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广播播音主持（实践）</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07182</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电视播音主持</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电视节目播音主持</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中国传媒大学播音与主持艺术学院编著</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07183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电视播音主持（实践）</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14062</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普通话语音与发声</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播音主持语音与发声</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中国传媒大学播音与主持艺术学院编著</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14063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普通话语音与发声（实践）</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手机媒体概论</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手机媒体概论</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匡文波</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01173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影视声音艺术</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影视声音艺术概论</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李飞雪</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09344</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播音创作基础（实践）</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广播电视写作</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节目主持艺术（实践）</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节目主持艺术基础</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曾致</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14570</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音视频节目策划与制作（实践）</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影视节目策划与制作</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赵鑫、李成、程潇爽</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09195</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文艺作品演播</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130309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播音与主持艺术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11779</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主持人语言艺术</w:t>
            </w:r>
          </w:p>
        </w:tc>
        <w:tc>
          <w:tcPr>
            <w:tcW w:w="10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主持人语言表达技巧</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吴郁</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2020年第三版</w:t>
            </w:r>
          </w:p>
        </w:tc>
      </w:tr>
    </w:tbl>
    <w:p/>
    <w:sectPr>
      <w:pgSz w:w="16838" w:h="11906" w:orient="landscape"/>
      <w:pgMar w:top="1247"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3EE84BFD"/>
    <w:rsid w:val="46DC1B7C"/>
    <w:rsid w:val="6748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2023-10-29T06:23:00Z</dcterms:created>
  <dc:creator>Administrator</dc:creator>
  <cp:lastModifiedBy>淡定</cp:lastModifiedBy>
  <dcterms:modified xsi:type="dcterms:W3CDTF">2023-10-29T07:31:53Z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A772D2F481BF44879D21650A7388D234_12</vt:lpwstr>
  </property>
</Properties>
</file>