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63391">
      <w:pPr>
        <w:overflowPunct w:val="0"/>
        <w:rPr>
          <w:rFonts w:hint="default" w:ascii="Times New Roman" w:hAnsi="Times New Roman" w:eastAsia="黑体" w:cs="Times New Roman"/>
          <w:b w:val="0"/>
          <w:bCs w:val="0"/>
          <w:sz w:val="32"/>
          <w:szCs w:val="32"/>
        </w:rPr>
      </w:pPr>
      <w:r>
        <w:rPr>
          <w:rFonts w:hint="default" w:ascii="黑体" w:hAnsi="黑体" w:eastAsia="黑体" w:cs="黑体"/>
          <w:b w:val="0"/>
          <w:bCs w:val="0"/>
          <w:sz w:val="32"/>
          <w:szCs w:val="32"/>
        </w:rPr>
        <w:t>附件</w:t>
      </w:r>
      <w:r>
        <w:rPr>
          <w:rFonts w:hint="default" w:ascii="Times New Roman" w:hAnsi="Times New Roman" w:eastAsia="黑体" w:cs="Times New Roman"/>
          <w:b w:val="0"/>
          <w:bCs w:val="0"/>
          <w:sz w:val="32"/>
          <w:szCs w:val="32"/>
        </w:rPr>
        <w:t>4</w:t>
      </w:r>
    </w:p>
    <w:p w14:paraId="4AADB6F3">
      <w:pPr>
        <w:overflowPunct w:val="0"/>
        <w:spacing w:line="600" w:lineRule="exact"/>
        <w:jc w:val="center"/>
        <w:rPr>
          <w:rFonts w:hint="eastAsia" w:ascii="方正小标宋_GBK" w:hAnsi="方正小标宋_GBK" w:eastAsia="方正小标宋_GBK" w:cs="方正小标宋_GBK"/>
          <w:bCs/>
          <w:sz w:val="40"/>
          <w:szCs w:val="40"/>
          <w:highlight w:val="none"/>
        </w:rPr>
      </w:pPr>
      <w:r>
        <w:rPr>
          <w:rFonts w:hint="eastAsia" w:ascii="方正小标宋_GBK" w:hAnsi="方正小标宋_GBK" w:eastAsia="方正小标宋_GBK" w:cs="方正小标宋_GBK"/>
          <w:bCs/>
          <w:sz w:val="40"/>
          <w:szCs w:val="40"/>
          <w:highlight w:val="none"/>
        </w:rPr>
        <w:t>四川省202</w:t>
      </w:r>
      <w:r>
        <w:rPr>
          <w:rFonts w:hint="eastAsia" w:ascii="方正小标宋_GBK" w:hAnsi="方正小标宋_GBK" w:eastAsia="方正小标宋_GBK" w:cs="方正小标宋_GBK"/>
          <w:bCs/>
          <w:sz w:val="40"/>
          <w:szCs w:val="40"/>
          <w:highlight w:val="none"/>
          <w:lang w:val="en-US" w:eastAsia="zh-CN"/>
        </w:rPr>
        <w:t>7</w:t>
      </w:r>
      <w:r>
        <w:rPr>
          <w:rFonts w:hint="eastAsia" w:ascii="方正小标宋_GBK" w:hAnsi="方正小标宋_GBK" w:eastAsia="方正小标宋_GBK" w:cs="方正小标宋_GBK"/>
          <w:bCs/>
          <w:sz w:val="40"/>
          <w:szCs w:val="40"/>
          <w:highlight w:val="none"/>
        </w:rPr>
        <w:t>年普通高等学校</w:t>
      </w:r>
    </w:p>
    <w:p w14:paraId="477F48F9">
      <w:pPr>
        <w:overflowPunct w:val="0"/>
        <w:spacing w:line="600" w:lineRule="exact"/>
        <w:jc w:val="center"/>
        <w:rPr>
          <w:rFonts w:hint="eastAsia" w:ascii="方正小标宋_GBK" w:hAnsi="方正小标宋_GBK" w:eastAsia="方正小标宋_GBK" w:cs="方正小标宋_GBK"/>
          <w:bCs/>
          <w:sz w:val="40"/>
          <w:szCs w:val="40"/>
          <w:highlight w:val="yellow"/>
        </w:rPr>
      </w:pPr>
      <w:r>
        <w:rPr>
          <w:rFonts w:hint="eastAsia" w:ascii="方正小标宋_GBK" w:hAnsi="方正小标宋_GBK" w:eastAsia="方正小标宋_GBK" w:cs="方正小标宋_GBK"/>
          <w:bCs/>
          <w:sz w:val="40"/>
          <w:szCs w:val="40"/>
          <w:highlight w:val="none"/>
        </w:rPr>
        <w:t>播音与主持类专业招生简介</w:t>
      </w:r>
    </w:p>
    <w:p w14:paraId="08D6A921">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outlineLvl w:val="1"/>
        <w:rPr>
          <w:rFonts w:hint="default" w:ascii="Times New Roman" w:hAnsi="Times New Roman" w:eastAsia="仿宋_GB2312" w:cs="Times New Roman"/>
          <w:b/>
          <w:kern w:val="2"/>
          <w:sz w:val="32"/>
          <w:szCs w:val="32"/>
          <w:lang w:val="en-US" w:eastAsia="zh-CN" w:bidi="ar-SA"/>
        </w:rPr>
      </w:pPr>
    </w:p>
    <w:p w14:paraId="0CAF34A1">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为贯彻落实教育部《关于进一步加强和改进普通高等学校艺术类专业考试招生工作的指导意见》（教学〔</w:t>
      </w:r>
      <w:r>
        <w:rPr>
          <w:rFonts w:hint="default" w:ascii="Times New Roman" w:hAnsi="Times New Roman" w:eastAsia="仿宋_GB2312" w:cs="Times New Roman"/>
          <w:sz w:val="32"/>
          <w:szCs w:val="32"/>
        </w:rPr>
        <w:t>2021</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3</w:t>
      </w:r>
      <w:r>
        <w:rPr>
          <w:rFonts w:hint="default" w:ascii="Times New Roman" w:hAnsi="Times New Roman" w:eastAsia="仿宋_GB2312" w:cs="Times New Roman"/>
          <w:color w:val="000000"/>
          <w:sz w:val="32"/>
          <w:szCs w:val="32"/>
        </w:rPr>
        <w:t>号）精神，根据教育部关于普通高等学校艺术类专业考试招生录取工作的有关文件规定，按照四川省高等教育招生考试委员会、</w:t>
      </w:r>
      <w:r>
        <w:rPr>
          <w:rFonts w:hint="default" w:ascii="Times New Roman" w:hAnsi="Times New Roman" w:eastAsia="仿宋_GB2312" w:cs="Times New Roman"/>
          <w:sz w:val="32"/>
          <w:szCs w:val="32"/>
        </w:rPr>
        <w:t>四川省教育厅《关于印发〈四川省进一步加强和改进普通高等学校艺术类专业考试招生工作实施方案〉的通知》（川招考委〔2023〕13号）相关要求，制定本招生简介。本类统考按照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统一设点、统一命题、统一制卷、统一考试、统一评分</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的原则，以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考评分离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形式组织实施。报考省内外学校</w:t>
      </w:r>
      <w:r>
        <w:rPr>
          <w:rFonts w:hint="default" w:ascii="Times New Roman" w:hAnsi="Times New Roman" w:eastAsia="仿宋_GB2312" w:cs="Times New Roman"/>
          <w:sz w:val="32"/>
          <w:szCs w:val="32"/>
          <w:lang w:val="en-US" w:eastAsia="zh-CN"/>
        </w:rPr>
        <w:t>使用专业成绩参与录取的</w:t>
      </w:r>
      <w:r>
        <w:rPr>
          <w:rFonts w:hint="default" w:ascii="Times New Roman" w:hAnsi="Times New Roman" w:eastAsia="仿宋_GB2312" w:cs="Times New Roman"/>
          <w:sz w:val="32"/>
          <w:szCs w:val="32"/>
        </w:rPr>
        <w:t>播音与主持类相关专业的考生，均须参加本类统考。</w:t>
      </w:r>
    </w:p>
    <w:p w14:paraId="6CDDA63B">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一、招生学校</w:t>
      </w:r>
    </w:p>
    <w:p w14:paraId="0697225B">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color w:val="000000"/>
          <w:sz w:val="32"/>
          <w:szCs w:val="32"/>
        </w:rPr>
        <w:t>年省内外招生学校（专业）及其代号、招生计划、收费标准、办学性质等详见《招生考试报·202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年招生计划合订本》。</w:t>
      </w:r>
    </w:p>
    <w:p w14:paraId="5C7198F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二、报名资格</w:t>
      </w:r>
    </w:p>
    <w:p w14:paraId="550056FE">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color w:val="000000"/>
          <w:sz w:val="32"/>
          <w:szCs w:val="32"/>
        </w:rPr>
        <w:t>年高考报名按</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color w:val="000000"/>
          <w:sz w:val="32"/>
          <w:szCs w:val="32"/>
        </w:rPr>
        <w:t>年教育部规定的条件审核办理。若教育部</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color w:val="000000"/>
          <w:sz w:val="32"/>
          <w:szCs w:val="32"/>
        </w:rPr>
        <w:t>年度正式文件下发后对报名条件有调整，则对调整所涉及的相关考生重新进行资格审核。具体要求详见我省</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年普通高考报名文件</w:t>
      </w:r>
      <w:r>
        <w:rPr>
          <w:rFonts w:hint="default" w:ascii="Times New Roman" w:hAnsi="Times New Roman" w:eastAsia="仿宋_GB2312" w:cs="Times New Roman"/>
          <w:color w:val="000000"/>
          <w:sz w:val="32"/>
          <w:szCs w:val="32"/>
        </w:rPr>
        <w:t>。</w:t>
      </w:r>
    </w:p>
    <w:p w14:paraId="57E1DAE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三、报名须知</w:t>
      </w:r>
    </w:p>
    <w:p w14:paraId="5164E451">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艺术体育类专业统考报名与普通高考文化考试报名同时进行，一次性填报。所有考生必须在规定时间内完成高考文化考试和专业考试报名信息填报与确认、缴纳报名考试费，逾期不再受理。</w:t>
      </w:r>
    </w:p>
    <w:p w14:paraId="7C8D1C89">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（一）文化考试报名</w:t>
      </w:r>
    </w:p>
    <w:p w14:paraId="4EE1EE29">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报考普通高等学校播音与主持类专业的考生必须参加普通高考文化考试报名，报考类别须选择艺术类，不可兼报体育类。</w:t>
      </w:r>
    </w:p>
    <w:p w14:paraId="31A5DB61">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考生网上报名时间安排在2026年10月22日至11月4日，每日9:00—22:00。具体报名办法及要求按我省202</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年普通高考报名文件执行。</w:t>
      </w:r>
    </w:p>
    <w:p w14:paraId="53281829">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（二）专业考试报名</w:t>
      </w:r>
    </w:p>
    <w:p w14:paraId="155CC931">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1.专业统考报名及缴费须知</w:t>
      </w:r>
    </w:p>
    <w:p w14:paraId="6FBA10FD">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报考我省202</w:t>
      </w:r>
      <w:r>
        <w:rPr>
          <w:rFonts w:hint="default" w:ascii="Times New Roman" w:hAnsi="Times New Roman" w:eastAsia="仿宋_GB2312" w:cs="Times New Roman"/>
          <w:color w:val="000000"/>
          <w:spacing w:val="-2"/>
          <w:sz w:val="32"/>
          <w:szCs w:val="32"/>
          <w:lang w:val="en-US" w:eastAsia="zh-CN"/>
        </w:rPr>
        <w:t>7</w:t>
      </w:r>
      <w:r>
        <w:rPr>
          <w:rFonts w:hint="default" w:ascii="Times New Roman" w:hAnsi="Times New Roman" w:eastAsia="仿宋_GB2312" w:cs="Times New Roman"/>
          <w:color w:val="000000"/>
          <w:spacing w:val="-2"/>
          <w:sz w:val="32"/>
          <w:szCs w:val="32"/>
        </w:rPr>
        <w:t>年播音与主持类专业统考的考生，登录</w:t>
      </w:r>
      <w:r>
        <w:rPr>
          <w:rFonts w:hint="default" w:ascii="Times New Roman" w:hAnsi="Times New Roman" w:eastAsia="仿宋_GB2312" w:cs="Times New Roman"/>
          <w:color w:val="auto"/>
          <w:spacing w:val="-2"/>
          <w:sz w:val="32"/>
          <w:szCs w:val="32"/>
          <w:u w:val="none"/>
          <w:lang w:eastAsia="zh-CN"/>
        </w:rPr>
        <w:t>四川省教育考试考生综合服务平台</w:t>
      </w:r>
      <w:r>
        <w:rPr>
          <w:rFonts w:hint="default" w:ascii="Times New Roman" w:hAnsi="Times New Roman" w:eastAsia="仿宋_GB2312" w:cs="Times New Roman"/>
          <w:color w:val="auto"/>
          <w:spacing w:val="-2"/>
          <w:sz w:val="32"/>
          <w:szCs w:val="32"/>
          <w:u w:val="none"/>
        </w:rPr>
        <w:t>（https://</w:t>
      </w:r>
      <w:r>
        <w:rPr>
          <w:rFonts w:hint="default" w:ascii="Times New Roman" w:hAnsi="Times New Roman" w:eastAsia="仿宋_GB2312" w:cs="Times New Roman"/>
          <w:color w:val="auto"/>
          <w:spacing w:val="-2"/>
          <w:sz w:val="32"/>
          <w:szCs w:val="32"/>
          <w:u w:val="none"/>
          <w:lang w:eastAsia="zh-CN"/>
        </w:rPr>
        <w:t>ks</w:t>
      </w:r>
      <w:r>
        <w:rPr>
          <w:rFonts w:hint="default" w:ascii="Times New Roman" w:hAnsi="Times New Roman" w:eastAsia="仿宋_GB2312" w:cs="Times New Roman"/>
          <w:color w:val="auto"/>
          <w:spacing w:val="-2"/>
          <w:sz w:val="32"/>
          <w:szCs w:val="32"/>
          <w:u w:val="none"/>
        </w:rPr>
        <w:t>.sceea.cn）</w:t>
      </w:r>
      <w:r>
        <w:rPr>
          <w:rFonts w:hint="default" w:ascii="Times New Roman" w:hAnsi="Times New Roman" w:eastAsia="仿宋_GB2312" w:cs="Times New Roman"/>
          <w:color w:val="000000"/>
          <w:spacing w:val="-2"/>
          <w:sz w:val="32"/>
          <w:szCs w:val="32"/>
        </w:rPr>
        <w:t>进行报名和缴费，与文化考试报名同步进行。按四川省发展和改革委员会、四川省财政厅《关于重新发布全省教育系统考试考务行政事业性收费的通知》（川发改价格规〔2022〕484号）文件规定，专业统考报名考试费标准为每生每专业200元。</w:t>
      </w:r>
    </w:p>
    <w:p w14:paraId="223CA944">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2.未在规定时间内完成我省文化及专业考试报名手续的考生责任自负。</w:t>
      </w:r>
    </w:p>
    <w:p w14:paraId="69FA3834">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黑体" w:cs="Times New Roman"/>
          <w:sz w:val="32"/>
          <w:szCs w:val="32"/>
        </w:rPr>
      </w:pPr>
    </w:p>
    <w:p w14:paraId="5AE0ED4A">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四、网上打印《专业准考证》</w:t>
      </w:r>
    </w:p>
    <w:p w14:paraId="4DFF1253">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考生在完成播音与主持类专业统考网上报名并缴费成功后，于</w:t>
      </w:r>
      <w:r>
        <w:rPr>
          <w:rFonts w:hint="default" w:ascii="Times New Roman" w:hAnsi="Times New Roman" w:eastAsia="仿宋_GB2312" w:cs="Times New Roman"/>
          <w:color w:val="auto"/>
          <w:sz w:val="32"/>
          <w:szCs w:val="32"/>
          <w:u w:val="none"/>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年11月25日</w:t>
      </w:r>
      <w:r>
        <w:rPr>
          <w:rFonts w:hint="default" w:ascii="Times New Roman" w:hAnsi="Times New Roman" w:eastAsia="仿宋_GB2312" w:cs="Times New Roman"/>
          <w:color w:val="000000"/>
          <w:sz w:val="32"/>
          <w:szCs w:val="32"/>
        </w:rPr>
        <w:t>至考试结束，可登录</w:t>
      </w:r>
      <w:r>
        <w:rPr>
          <w:rFonts w:hint="default" w:ascii="Times New Roman" w:hAnsi="Times New Roman" w:eastAsia="仿宋_GB2312" w:cs="Times New Roman"/>
          <w:color w:val="000000"/>
          <w:sz w:val="32"/>
          <w:szCs w:val="32"/>
          <w:lang w:eastAsia="zh-CN"/>
        </w:rPr>
        <w:t>四川省教育考试考生综合服务平台</w:t>
      </w:r>
      <w:r>
        <w:rPr>
          <w:rFonts w:hint="default" w:ascii="Times New Roman" w:hAnsi="Times New Roman" w:eastAsia="仿宋_GB2312" w:cs="Times New Roman"/>
          <w:color w:val="000000"/>
          <w:sz w:val="32"/>
          <w:szCs w:val="32"/>
        </w:rPr>
        <w:t>根据提示打印专业考试准考证。</w:t>
      </w:r>
    </w:p>
    <w:p w14:paraId="5B6F065E">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五、专业考试</w:t>
      </w:r>
    </w:p>
    <w:p w14:paraId="156ABD26">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宋体" w:cs="Times New Roman"/>
          <w:bCs/>
          <w:szCs w:val="32"/>
        </w:rPr>
      </w:pPr>
      <w:r>
        <w:rPr>
          <w:rFonts w:hint="default" w:ascii="Times New Roman" w:hAnsi="Times New Roman" w:eastAsia="仿宋_GB2312" w:cs="Times New Roman"/>
          <w:sz w:val="32"/>
          <w:szCs w:val="32"/>
        </w:rPr>
        <w:t>播音与主持类专业统考是考生进入高校相关专业学习应当具备的基本素质和能力测试，旨在考查考生学习播音与主持类专业应具备的基本条件和潜能，其评价结果是高校相关专业招生录取的重要依据。</w:t>
      </w:r>
    </w:p>
    <w:p w14:paraId="6FAA0D9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outlineLvl w:val="1"/>
        <w:rPr>
          <w:rFonts w:hint="default" w:ascii="Times New Roman" w:hAnsi="Times New Roman" w:eastAsia="楷体_GB2312" w:cs="Times New Roman"/>
          <w:b w:val="0"/>
          <w:bCs/>
          <w:kern w:val="2"/>
          <w:sz w:val="32"/>
          <w:szCs w:val="32"/>
          <w:lang w:val="en-US" w:eastAsia="zh-CN" w:bidi="ar-SA"/>
        </w:rPr>
      </w:pPr>
      <w:r>
        <w:rPr>
          <w:rFonts w:hint="default" w:ascii="Times New Roman" w:hAnsi="Times New Roman" w:eastAsia="楷体_GB2312" w:cs="Times New Roman"/>
          <w:b w:val="0"/>
          <w:bCs/>
          <w:kern w:val="2"/>
          <w:sz w:val="32"/>
          <w:szCs w:val="32"/>
          <w:lang w:val="en-US" w:eastAsia="zh-CN" w:bidi="ar-SA"/>
        </w:rPr>
        <w:t>（一）考试方式</w:t>
      </w:r>
    </w:p>
    <w:p w14:paraId="29DB8E13">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outlineLvl w:val="1"/>
        <w:rPr>
          <w:rFonts w:hint="default" w:ascii="Times New Roman" w:hAnsi="Times New Roman" w:eastAsia="仿宋_GB2312" w:cs="Times New Roman"/>
          <w:b/>
          <w:kern w:val="2"/>
          <w:sz w:val="32"/>
          <w:szCs w:val="32"/>
          <w:lang w:val="en-US" w:eastAsia="zh-CN" w:bidi="ar-SA"/>
        </w:rPr>
      </w:pPr>
      <w:r>
        <w:rPr>
          <w:rFonts w:hint="default" w:ascii="Times New Roman" w:hAnsi="Times New Roman" w:eastAsia="仿宋_GB2312" w:cs="Times New Roman"/>
          <w:b w:val="0"/>
          <w:color w:val="000000"/>
          <w:kern w:val="2"/>
          <w:sz w:val="32"/>
          <w:szCs w:val="32"/>
          <w:lang w:val="en-US" w:eastAsia="zh-CN" w:bidi="ar-SA"/>
        </w:rPr>
        <w:t>四川省普通高等学校播音与主持类专业考试采用</w:t>
      </w:r>
      <w:r>
        <w:rPr>
          <w:rFonts w:hint="eastAsia" w:ascii="Times New Roman" w:hAnsi="Times New Roman" w:eastAsia="仿宋_GB2312" w:cs="Times New Roman"/>
          <w:b w:val="0"/>
          <w:color w:val="000000"/>
          <w:kern w:val="2"/>
          <w:sz w:val="32"/>
          <w:szCs w:val="32"/>
          <w:lang w:val="en-US" w:eastAsia="zh-CN" w:bidi="ar-SA"/>
        </w:rPr>
        <w:t>“</w:t>
      </w:r>
      <w:r>
        <w:rPr>
          <w:rFonts w:hint="default" w:ascii="Times New Roman" w:hAnsi="Times New Roman" w:eastAsia="仿宋_GB2312" w:cs="Times New Roman"/>
          <w:b w:val="0"/>
          <w:color w:val="000000"/>
          <w:kern w:val="2"/>
          <w:sz w:val="32"/>
          <w:szCs w:val="32"/>
          <w:lang w:val="en-US" w:eastAsia="zh-CN" w:bidi="ar-SA"/>
        </w:rPr>
        <w:t>考评分离</w:t>
      </w:r>
      <w:r>
        <w:rPr>
          <w:rFonts w:hint="eastAsia" w:ascii="Times New Roman" w:hAnsi="Times New Roman" w:eastAsia="仿宋_GB2312" w:cs="Times New Roman"/>
          <w:b w:val="0"/>
          <w:color w:val="000000"/>
          <w:kern w:val="2"/>
          <w:sz w:val="32"/>
          <w:szCs w:val="32"/>
          <w:lang w:val="en-US" w:eastAsia="zh-CN" w:bidi="ar-SA"/>
        </w:rPr>
        <w:t>”</w:t>
      </w:r>
      <w:r>
        <w:rPr>
          <w:rFonts w:hint="default" w:ascii="Times New Roman" w:hAnsi="Times New Roman" w:eastAsia="仿宋_GB2312" w:cs="Times New Roman"/>
          <w:b w:val="0"/>
          <w:color w:val="000000"/>
          <w:kern w:val="2"/>
          <w:sz w:val="32"/>
          <w:szCs w:val="32"/>
          <w:lang w:val="en-US" w:eastAsia="zh-CN" w:bidi="ar-SA"/>
        </w:rPr>
        <w:t>方式进行，即考生现场集中录制音视频，后组织评委根据录制的音视频对考生考试表现进行独立评分，考试现场不安排评委。</w:t>
      </w:r>
    </w:p>
    <w:p w14:paraId="760F7F7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outlineLvl w:val="1"/>
        <w:rPr>
          <w:rFonts w:hint="default" w:ascii="Times New Roman" w:hAnsi="Times New Roman" w:eastAsia="楷体_GB2312" w:cs="Times New Roman"/>
          <w:b w:val="0"/>
          <w:bCs/>
          <w:kern w:val="2"/>
          <w:sz w:val="32"/>
          <w:szCs w:val="32"/>
          <w:lang w:val="en-US" w:eastAsia="zh-CN" w:bidi="ar-SA"/>
        </w:rPr>
      </w:pPr>
      <w:r>
        <w:rPr>
          <w:rFonts w:hint="default" w:ascii="Times New Roman" w:hAnsi="Times New Roman" w:eastAsia="楷体_GB2312" w:cs="Times New Roman"/>
          <w:b w:val="0"/>
          <w:bCs/>
          <w:kern w:val="2"/>
          <w:sz w:val="32"/>
          <w:szCs w:val="32"/>
          <w:lang w:val="en-US" w:eastAsia="zh-CN" w:bidi="ar-SA"/>
        </w:rPr>
        <w:t>（二）考试科目和分值</w:t>
      </w:r>
    </w:p>
    <w:p w14:paraId="5398637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考试包括作品朗读、新闻播报、话题评述三个科目。</w:t>
      </w:r>
    </w:p>
    <w:p w14:paraId="45E8351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三科总分为300分，其中作品朗读100分、新闻播报100分、话题评述100分。</w:t>
      </w:r>
    </w:p>
    <w:p w14:paraId="58C2AB9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b/>
          <w:sz w:val="32"/>
          <w:szCs w:val="32"/>
        </w:rPr>
      </w:pPr>
      <w:r>
        <w:rPr>
          <w:rFonts w:hint="default" w:ascii="Times New Roman" w:hAnsi="Times New Roman" w:eastAsia="楷体_GB2312" w:cs="Times New Roman"/>
          <w:bCs/>
          <w:sz w:val="32"/>
          <w:szCs w:val="32"/>
        </w:rPr>
        <w:t>（三）考试目的、内容及形式</w:t>
      </w:r>
    </w:p>
    <w:p w14:paraId="1383F61F">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1.作品朗读</w:t>
      </w:r>
    </w:p>
    <w:p w14:paraId="251B59CD">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考试目的：</w:t>
      </w:r>
      <w:r>
        <w:rPr>
          <w:rFonts w:hint="default" w:ascii="Times New Roman" w:hAnsi="Times New Roman" w:eastAsia="仿宋_GB2312" w:cs="Times New Roman"/>
          <w:sz w:val="32"/>
          <w:szCs w:val="32"/>
        </w:rPr>
        <w:t>主要考查考生普通话语音面貌、嗓音条件及对作品的理解力、感受力和表现力等。</w:t>
      </w:r>
    </w:p>
    <w:p w14:paraId="6B6BA60E">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考试内容</w:t>
      </w:r>
      <w:r>
        <w:rPr>
          <w:rFonts w:hint="default" w:ascii="Times New Roman" w:hAnsi="Times New Roman" w:eastAsia="仿宋_GB2312" w:cs="Times New Roman"/>
          <w:sz w:val="32"/>
          <w:szCs w:val="32"/>
        </w:rPr>
        <w:t>：指定文学作品朗读，包括一首（段）古诗文和一段现代文学作品节选。</w:t>
      </w:r>
    </w:p>
    <w:p w14:paraId="248FF9F2">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考试形式：</w:t>
      </w:r>
      <w:r>
        <w:rPr>
          <w:rFonts w:hint="default" w:ascii="Times New Roman" w:hAnsi="Times New Roman" w:eastAsia="仿宋_GB2312" w:cs="Times New Roman"/>
          <w:sz w:val="32"/>
          <w:szCs w:val="32"/>
        </w:rPr>
        <w:t>现场抽取试题，答题时长不超过2分钟。</w:t>
      </w:r>
    </w:p>
    <w:p w14:paraId="293012ED">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2.新闻播报</w:t>
      </w:r>
    </w:p>
    <w:p w14:paraId="36F2C18B">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考试目的</w:t>
      </w:r>
      <w:r>
        <w:rPr>
          <w:rFonts w:hint="default" w:ascii="Times New Roman" w:hAnsi="Times New Roman" w:eastAsia="仿宋_GB2312" w:cs="Times New Roman"/>
          <w:sz w:val="32"/>
          <w:szCs w:val="32"/>
        </w:rPr>
        <w:t>：主要考查考生对新闻稿件的理解能力、表达能力和新闻语感。</w:t>
      </w:r>
    </w:p>
    <w:p w14:paraId="6799F65F">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考试内容：</w:t>
      </w:r>
      <w:r>
        <w:rPr>
          <w:rFonts w:hint="default" w:ascii="Times New Roman" w:hAnsi="Times New Roman" w:eastAsia="仿宋_GB2312" w:cs="Times New Roman"/>
          <w:sz w:val="32"/>
          <w:szCs w:val="32"/>
        </w:rPr>
        <w:t>指定新闻稿件播报。</w:t>
      </w:r>
    </w:p>
    <w:p w14:paraId="68B1B582">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考试形式</w:t>
      </w:r>
      <w:r>
        <w:rPr>
          <w:rFonts w:hint="default" w:ascii="Times New Roman" w:hAnsi="Times New Roman" w:eastAsia="仿宋_GB2312" w:cs="Times New Roman"/>
          <w:sz w:val="32"/>
          <w:szCs w:val="32"/>
        </w:rPr>
        <w:t>：现场抽取试题，答题时长不超过1分钟。</w:t>
      </w:r>
    </w:p>
    <w:p w14:paraId="5386501B">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3.话题评述</w:t>
      </w:r>
    </w:p>
    <w:p w14:paraId="3732BDB8">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考试目的：</w:t>
      </w:r>
      <w:r>
        <w:rPr>
          <w:rFonts w:hint="default" w:ascii="Times New Roman" w:hAnsi="Times New Roman" w:eastAsia="仿宋_GB2312" w:cs="Times New Roman"/>
          <w:sz w:val="32"/>
          <w:szCs w:val="32"/>
        </w:rPr>
        <w:t>主要考查考生思维能力、语言组织能力、口语表达能力、评论能力和说服力。</w:t>
      </w:r>
    </w:p>
    <w:p w14:paraId="5D305C07">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考试内容：</w:t>
      </w:r>
      <w:r>
        <w:rPr>
          <w:rFonts w:hint="default" w:ascii="Times New Roman" w:hAnsi="Times New Roman" w:eastAsia="仿宋_GB2312" w:cs="Times New Roman"/>
          <w:sz w:val="32"/>
          <w:szCs w:val="32"/>
        </w:rPr>
        <w:t>对所提供的话题（素材）进行评述。</w:t>
      </w:r>
    </w:p>
    <w:p w14:paraId="0E3088F1">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考试形式：</w:t>
      </w:r>
      <w:r>
        <w:rPr>
          <w:rFonts w:hint="default" w:ascii="Times New Roman" w:hAnsi="Times New Roman" w:eastAsia="仿宋_GB2312" w:cs="Times New Roman"/>
          <w:sz w:val="32"/>
          <w:szCs w:val="32"/>
        </w:rPr>
        <w:t>现场抽取考题，脱稿评述，答题时长不超过2分钟。</w:t>
      </w:r>
    </w:p>
    <w:p w14:paraId="5D6877F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注：所有考试科目均采用单人单场面试方式，同一考生应在同一考场一次性完成。考生三个科目的备稿总时长10分钟。</w:t>
      </w:r>
    </w:p>
    <w:p w14:paraId="452E7F03">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楷体_GB2312" w:cs="Times New Roman"/>
          <w:kern w:val="0"/>
          <w:sz w:val="21"/>
          <w:szCs w:val="21"/>
          <w:lang w:val="en-US" w:eastAsia="zh-CN" w:bidi="ar-SA"/>
        </w:rPr>
      </w:pPr>
      <w:r>
        <w:rPr>
          <w:rFonts w:hint="default" w:ascii="Times New Roman" w:hAnsi="Times New Roman" w:eastAsia="楷体_GB2312" w:cs="Times New Roman"/>
          <w:kern w:val="0"/>
          <w:sz w:val="31"/>
          <w:szCs w:val="31"/>
          <w:lang w:val="en-US" w:eastAsia="zh-CN" w:bidi="ar-SA"/>
        </w:rPr>
        <w:t>（四）音视频录制</w:t>
      </w:r>
    </w:p>
    <w:p w14:paraId="65E5FE33">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考生进入考场后在指定位置站立，通过考场内显示屏查看本人相关信息。根据系统语音提示，正对主摄像头依次完成三个科目的考试音视频录制。</w:t>
      </w:r>
    </w:p>
    <w:p w14:paraId="0513CF77">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各科目考试顺序为：</w:t>
      </w:r>
    </w:p>
    <w:p w14:paraId="5A79BF4B">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1.作品朗读。考生准备就绪并示意，听到</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考试开始</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指令后，进行作品朗读科目考试，限时2分钟。考试录制2分钟后自动停止。</w:t>
      </w:r>
    </w:p>
    <w:p w14:paraId="02AF5D9B">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2.新闻播报。考生听到</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考试开始</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指令后，进行新闻播报科目考试，限时1分钟。考试录制1分钟后自动停止。</w:t>
      </w:r>
    </w:p>
    <w:p w14:paraId="651FA4E3">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kern w:val="2"/>
          <w:sz w:val="32"/>
          <w:szCs w:val="32"/>
          <w:lang w:val="en-US" w:eastAsia="zh-CN" w:bidi="ar-SA"/>
        </w:rPr>
        <w:t>3.话题评述。考生听到</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考试开始</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指令后，进行话题评述科目考试，限时2分钟。考试录制2分钟后自动停止。</w:t>
      </w:r>
    </w:p>
    <w:p w14:paraId="70887403">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楷体_GB2312" w:cs="Times New Roman"/>
          <w:kern w:val="0"/>
          <w:sz w:val="21"/>
          <w:szCs w:val="21"/>
          <w:lang w:val="en-US" w:eastAsia="zh-CN" w:bidi="ar-SA"/>
        </w:rPr>
      </w:pPr>
      <w:r>
        <w:rPr>
          <w:rFonts w:hint="default" w:ascii="Times New Roman" w:hAnsi="Times New Roman" w:eastAsia="楷体_GB2312" w:cs="Times New Roman"/>
          <w:kern w:val="0"/>
          <w:sz w:val="31"/>
          <w:szCs w:val="31"/>
          <w:lang w:val="en-US" w:eastAsia="zh-CN" w:bidi="ar-SA"/>
        </w:rPr>
        <w:t>（五）签退离场</w:t>
      </w:r>
    </w:p>
    <w:p w14:paraId="790E8CB3">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考生所有科目视频录制完成后，按系统语音指令确认回放视频，考生确认考试录制视频为本人考试视频、录制正常后离场。考生确认只涉及视频画面是否本人、录制是否完成，不涉及考试内容或状态等。各科目考试录制过程中，考生若提前结束考试，须举起</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结束考试</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的牌子示意，方可提前结束本科目考试。如考生中途放弃考试，仍须录制未完成科目视频，考生须举起</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放弃考试</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的牌子示意，结束当前科目考试。考试科目全部完成后，考生在考场外签字确认，交回纸质试题并迅速离场。</w:t>
      </w:r>
    </w:p>
    <w:p w14:paraId="43A98B40">
      <w:pPr>
        <w:keepNext w:val="0"/>
        <w:keepLines w:val="0"/>
        <w:pageBreakBefore w:val="0"/>
        <w:widowControl w:val="0"/>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2"/>
          <w:sz w:val="32"/>
          <w:szCs w:val="32"/>
          <w:lang w:val="en-US" w:eastAsia="zh-CN" w:bidi="ar-SA"/>
        </w:rPr>
        <w:t>考场有计时提醒，考生应注意把握考试时间。</w:t>
      </w:r>
    </w:p>
    <w:p w14:paraId="09679E9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（六）考试要求</w:t>
      </w:r>
    </w:p>
    <w:p w14:paraId="3B13968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1.考生不得化妆，不得戴美瞳</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不得佩戴与考试无关的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带有身份、地域、机构等标识的</w:t>
      </w:r>
      <w:r>
        <w:rPr>
          <w:rFonts w:hint="default" w:ascii="Times New Roman" w:hAnsi="Times New Roman" w:eastAsia="仿宋_GB2312" w:cs="Times New Roman"/>
          <w:sz w:val="32"/>
          <w:szCs w:val="32"/>
        </w:rPr>
        <w:t>饰品（服饰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头饰等），不得出现遮挡面部等可能影响客观评判的情况。</w:t>
      </w:r>
    </w:p>
    <w:p w14:paraId="487EA1E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2.考试过程中不得使用辅助工具，如道具、音乐播放器等。</w:t>
      </w:r>
    </w:p>
    <w:p w14:paraId="417D48B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（七）考查范围</w:t>
      </w:r>
    </w:p>
    <w:p w14:paraId="117C796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作品朗读科目选材以中小学语文教育涉及的内容为主，可包括相关补充教材及推荐阅读材料等。</w:t>
      </w:r>
    </w:p>
    <w:p w14:paraId="28312E4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新闻播报科目选材以官方主流媒体近期发布的社会类、生活类新闻为主。</w:t>
      </w:r>
    </w:p>
    <w:p w14:paraId="583DBC4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sz w:val="32"/>
          <w:szCs w:val="32"/>
        </w:rPr>
        <w:t>话题评述科目选材以社会热点、日常生活等内容为主。</w:t>
      </w:r>
    </w:p>
    <w:p w14:paraId="3E36542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（八）专业考试日程安排及地点</w:t>
      </w:r>
    </w:p>
    <w:p w14:paraId="5083985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考试时间：202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年12月1日至考试结束。</w:t>
      </w:r>
    </w:p>
    <w:p w14:paraId="089EC26E">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考试地点：</w:t>
      </w:r>
      <w:r>
        <w:rPr>
          <w:rFonts w:hint="default" w:ascii="Times New Roman" w:hAnsi="Times New Roman" w:eastAsia="仿宋_GB2312" w:cs="Times New Roman"/>
          <w:color w:val="auto"/>
          <w:sz w:val="32"/>
          <w:szCs w:val="32"/>
          <w:u w:val="none"/>
        </w:rPr>
        <w:t>成都理工大学考点（成都市成华区二仙桥东三路</w:t>
      </w:r>
      <w:r>
        <w:rPr>
          <w:rFonts w:hint="eastAsia" w:ascii="Times New Roman" w:hAnsi="Times New Roman" w:eastAsia="仿宋_GB2312" w:cs="Times New Roman"/>
          <w:color w:val="auto"/>
          <w:sz w:val="32"/>
          <w:szCs w:val="32"/>
          <w:u w:val="none"/>
          <w:lang w:eastAsia="zh-CN"/>
        </w:rPr>
        <w:t>1</w:t>
      </w:r>
      <w:r>
        <w:rPr>
          <w:rFonts w:hint="default" w:ascii="Times New Roman" w:hAnsi="Times New Roman" w:eastAsia="仿宋_GB2312" w:cs="Times New Roman"/>
          <w:color w:val="auto"/>
          <w:sz w:val="32"/>
          <w:szCs w:val="32"/>
          <w:u w:val="none"/>
        </w:rPr>
        <w:t>号）艺术大楼。</w:t>
      </w:r>
      <w:r>
        <w:rPr>
          <w:rFonts w:hint="default" w:ascii="Times New Roman" w:hAnsi="Times New Roman" w:eastAsia="仿宋_GB2312" w:cs="Times New Roman"/>
          <w:sz w:val="32"/>
          <w:szCs w:val="32"/>
        </w:rPr>
        <w:t>具体考场安排以专业准考证上的内容为准。</w:t>
      </w:r>
    </w:p>
    <w:p w14:paraId="7E7BDE5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（九）考试注意事项</w:t>
      </w:r>
    </w:p>
    <w:p w14:paraId="2BEFADE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考生凭身份证原件和专业准考证参加专业考试。专业面试科目考试实行分组定时按顺序进行，考生本人的专业准考证上已排定了考生所参加的面试科目考试点名时间，凡不按专业准考证上规定的点名时间参加考试的考生，视为自动放弃。考生如果因突发疾病无法参加面试点名及考试，可持三级甲等（含）以上医院出具的病情诊断书及相关治疗缴费凭证提前向考务办提交更改考试时间的申请，由考务办在该科考试全部结束前的时段内酌情另行安排；除此之外的缺考（含三次点名不到），不另行安排考试时间，相关科目成绩计为0分。考生须提前20分钟到考点面试科目考试点名处集中点名，经安检通过后，只能携带与考试有关的物品入场检录候考，身份验证通过后方可进入考室参加面试科目考试。</w:t>
      </w:r>
    </w:p>
    <w:p w14:paraId="18AD451E">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2.考试将全程录音录像。每位考生只有一次考试机会，因自身原因中断或失误，不得重考。</w:t>
      </w:r>
    </w:p>
    <w:p w14:paraId="088FAF4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考场内考生一律禁止透露姓名、考生号、就读学校（或工作单位）等与个人身份有关的信息，禁止做任何打招呼和有暗示性的言语行为，不得发出与考试内容无关的声音，否则按违规处理。未经考试工作人员允许不得触碰考场内设施设备。</w:t>
      </w:r>
    </w:p>
    <w:p w14:paraId="736BB45D">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对于不遵守《考场规则》，不服从考务工作人员管理以及出现违规行为的考生，考务办公室将报送省教育考试院，按照《中华人民共和国教育法》第七十九条、《国家教育考试违规处理办法》（教育部令第33号）和教育部有关规定给予处理。对认定为考试作弊的考生将取消当次报名参加普通高校招生考试各阶段、各科成绩，并记入国家教育考试考生诚信考试电子档案。对实施组织团伙作弊；向考场外发送、传递试题信息；使用相关设备接收信息实施作弊；伪造、变造身份证、准考证及其他证明材料，替考等严重作弊行为的考生，将报请教育行政部门给予停考处罚。对涉嫌违反《中华人民共和国刑法修正案（九）》第二百八十四条的行为，考务办公室将移送当地公安机关处理。</w:t>
      </w:r>
    </w:p>
    <w:p w14:paraId="1372697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六、专业成绩通知和复核</w:t>
      </w:r>
    </w:p>
    <w:p w14:paraId="5F70418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（一）专业成绩通知</w:t>
      </w:r>
    </w:p>
    <w:p w14:paraId="1E31207D">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考生可登录</w:t>
      </w:r>
      <w:r>
        <w:rPr>
          <w:rFonts w:hint="eastAsia" w:ascii="Times New Roman" w:hAnsi="Times New Roman" w:eastAsia="仿宋_GB2312" w:cs="Times New Roman"/>
          <w:sz w:val="32"/>
          <w:szCs w:val="32"/>
          <w:lang w:val="en-US" w:eastAsia="zh-CN"/>
        </w:rPr>
        <w:t>四川</w:t>
      </w:r>
      <w:r>
        <w:rPr>
          <w:rFonts w:hint="default" w:ascii="Times New Roman" w:hAnsi="Times New Roman" w:eastAsia="仿宋_GB2312" w:cs="Times New Roman"/>
          <w:color w:val="auto"/>
          <w:sz w:val="32"/>
          <w:szCs w:val="32"/>
          <w:u w:val="none"/>
        </w:rPr>
        <w:t>省教育考试院官方网站或</w:t>
      </w:r>
      <w:r>
        <w:rPr>
          <w:rFonts w:hint="default" w:ascii="Times New Roman" w:hAnsi="Times New Roman" w:eastAsia="仿宋_GB2312" w:cs="Times New Roman"/>
          <w:color w:val="auto"/>
          <w:sz w:val="32"/>
          <w:szCs w:val="32"/>
          <w:u w:val="none"/>
          <w:lang w:eastAsia="zh-CN"/>
        </w:rPr>
        <w:t>四川省教育考试考生综合服务平台</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"http://www.sceea.cn）查询专业考试成绩，并打印成绩通知单。" </w:instrText>
      </w:r>
      <w:r>
        <w:rPr>
          <w:rFonts w:hint="default" w:ascii="Times New Roman" w:hAnsi="Times New Roman" w:eastAsia="宋体" w:cs="Times New Roman"/>
        </w:rPr>
        <w:fldChar w:fldCharType="separate"/>
      </w:r>
      <w:r>
        <w:rPr>
          <w:rFonts w:hint="default" w:ascii="Times New Roman" w:hAnsi="Times New Roman" w:eastAsia="仿宋_GB2312" w:cs="Times New Roman"/>
          <w:sz w:val="32"/>
          <w:szCs w:val="32"/>
        </w:rPr>
        <w:t>查询本人各科类专业考试成绩，并打印成绩通知单，具体时间以省教育考试院公告为准。</w:t>
      </w:r>
      <w:r>
        <w:rPr>
          <w:rFonts w:hint="default" w:ascii="Times New Roman" w:hAnsi="Times New Roman" w:eastAsia="仿宋_GB2312" w:cs="Times New Roman"/>
          <w:sz w:val="32"/>
          <w:szCs w:val="32"/>
        </w:rPr>
        <w:fldChar w:fldCharType="end"/>
      </w:r>
    </w:p>
    <w:p w14:paraId="3758DD3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（二）专业成绩复核</w:t>
      </w:r>
    </w:p>
    <w:p w14:paraId="615EC2B7">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对专业统考成绩有疑问的考生，可在规定时间内登录</w:t>
      </w:r>
      <w:r>
        <w:rPr>
          <w:rFonts w:hint="default" w:ascii="Times New Roman" w:hAnsi="Times New Roman" w:eastAsia="仿宋_GB2312" w:cs="Times New Roman"/>
          <w:color w:val="auto"/>
          <w:sz w:val="32"/>
          <w:szCs w:val="32"/>
          <w:u w:val="none"/>
          <w:lang w:eastAsia="zh-CN"/>
        </w:rPr>
        <w:t>四川省教育考试考生综合服务平台</w:t>
      </w:r>
      <w:r>
        <w:rPr>
          <w:rFonts w:hint="default" w:ascii="Times New Roman" w:hAnsi="Times New Roman" w:eastAsia="仿宋_GB2312" w:cs="Times New Roman"/>
          <w:sz w:val="32"/>
          <w:szCs w:val="32"/>
        </w:rPr>
        <w:t>办理成绩复核登记手续，并查询复核结果，复核结果由考务办公室通知考生。复核内容包括考生个人相关信息是否准确、</w:t>
      </w:r>
      <w:r>
        <w:rPr>
          <w:rFonts w:hint="eastAsia" w:ascii="Times New Roman" w:hAnsi="Times New Roman" w:eastAsia="仿宋_GB2312" w:cs="Times New Roman"/>
          <w:sz w:val="32"/>
          <w:szCs w:val="32"/>
          <w:lang w:eastAsia="zh-CN"/>
        </w:rPr>
        <w:t>是否为考生本人答卷</w:t>
      </w:r>
      <w:r>
        <w:rPr>
          <w:rFonts w:hint="default" w:ascii="Times New Roman" w:hAnsi="Times New Roman" w:eastAsia="仿宋_GB2312" w:cs="Times New Roman"/>
          <w:sz w:val="32"/>
          <w:szCs w:val="32"/>
        </w:rPr>
        <w:t>（含音视频）、是否有漏评、得分是否漏统（登）、各项目得分合成的成绩是否与考生查询成绩一致等；成绩复核不重新评阅答卷（含音视频），评分标准、评分细则的宽严问题不在复核范围之内。</w:t>
      </w:r>
    </w:p>
    <w:p w14:paraId="578E4E4E">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高校校考成绩由组织校考的招生高校自行通知考生，成绩复核事宜按照高校有关规定执行。</w:t>
      </w:r>
    </w:p>
    <w:p w14:paraId="65665915">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根据教育部相关文件要求，高校要加强对特殊类型录取新生入学资格的审查和专业复测，对审查或复测发现问题的，将按有关规定进行处理。</w:t>
      </w:r>
    </w:p>
    <w:p w14:paraId="196652F7">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七、文化考试</w:t>
      </w:r>
    </w:p>
    <w:p w14:paraId="24FD62A2">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报考普通高校播音与主持类专业的考生，须按规定参加全国普通高等学校招生统一文化考试。播音与主持类专业无对口招生计划。</w:t>
      </w:r>
    </w:p>
    <w:p w14:paraId="02E8C39B">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八、政考、体检</w:t>
      </w:r>
    </w:p>
    <w:p w14:paraId="69D4DF5F">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考生的思想政治品德考核和体检，按照我省202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年普通高考报名文件有关规定执行。</w:t>
      </w:r>
    </w:p>
    <w:p w14:paraId="3B5D0E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九、其他事项</w:t>
      </w:r>
    </w:p>
    <w:p w14:paraId="1A838176">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报考经批准可单独组织专业考试（校考）的播音与主持类专业的考生，必须参加我省组织的播音与主持类专业统考且成绩达到本类专业统考合格线，同类专业校考合格成绩方为有效。</w:t>
      </w:r>
    </w:p>
    <w:p w14:paraId="5B3FDC51">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参加专业校考的考生，应当提前咨询拟报考的学校，确认拟报考的专业与专业省统考类别（子科类）的对应关系（参见附表），防止出现因为考生没有参加相应类别的省统考而导致校考成绩无效的情形。</w:t>
      </w:r>
    </w:p>
    <w:p w14:paraId="1E623336">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考生在填报志愿时，必须查阅学校《招生章程》《招生简章》，了解学校对专业成绩总分、文化成绩总分、单科成绩、身体条件、选考科类等方面的要求，如因误填、错填而被学校退档，其后果自负。</w:t>
      </w:r>
    </w:p>
    <w:p w14:paraId="5AC579D4">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四川省202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年普通高校招生播音与主持类专业考务办公室设在成都理工大学。</w:t>
      </w:r>
    </w:p>
    <w:p w14:paraId="6225F1EA">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地址：成都市成华区二仙桥东三路1号</w:t>
      </w:r>
    </w:p>
    <w:p w14:paraId="018DF855">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邮编：610059</w:t>
      </w:r>
    </w:p>
    <w:p w14:paraId="61C7AAAB">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电话：（028）84078927</w:t>
      </w:r>
    </w:p>
    <w:p w14:paraId="26FC9BF2">
      <w:pPr>
        <w:keepNext w:val="0"/>
        <w:keepLines w:val="0"/>
        <w:pageBreakBefore w:val="0"/>
        <w:widowControl w:val="0"/>
        <w:kinsoku/>
        <w:wordWrap/>
        <w:overflowPunct/>
        <w:topLinePunct w:val="0"/>
        <w:autoSpaceDE/>
        <w:autoSpaceDN/>
        <w:bidi w:val="0"/>
        <w:adjustRightInd/>
        <w:spacing w:line="560" w:lineRule="exact"/>
        <w:ind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注：本简介未尽事宜，按我省普通高校年度招生工作相关文件执行。</w:t>
      </w:r>
    </w:p>
    <w:p w14:paraId="5A7AD9DC">
      <w:pPr>
        <w:keepNext w:val="0"/>
        <w:keepLines w:val="0"/>
        <w:pageBreakBefore w:val="0"/>
        <w:widowControl w:val="0"/>
        <w:kinsoku/>
        <w:wordWrap/>
        <w:overflowPunct/>
        <w:topLinePunct w:val="0"/>
        <w:autoSpaceDE/>
        <w:autoSpaceDN/>
        <w:bidi w:val="0"/>
        <w:adjustRightInd/>
        <w:spacing w:line="600" w:lineRule="exact"/>
        <w:ind w:firstLine="600"/>
        <w:textAlignment w:val="auto"/>
        <w:rPr>
          <w:rFonts w:hint="default" w:ascii="Times New Roman" w:hAnsi="Times New Roman" w:eastAsia="仿宋_GB2312" w:cs="Times New Roman"/>
          <w:sz w:val="32"/>
          <w:szCs w:val="32"/>
        </w:rPr>
      </w:pPr>
    </w:p>
    <w:p w14:paraId="65E6C489">
      <w:pPr>
        <w:keepNext w:val="0"/>
        <w:keepLines w:val="0"/>
        <w:pageBreakBefore w:val="0"/>
        <w:widowControl w:val="0"/>
        <w:kinsoku/>
        <w:wordWrap/>
        <w:overflowPunct/>
        <w:topLinePunct w:val="0"/>
        <w:autoSpaceDE/>
        <w:autoSpaceDN/>
        <w:bidi w:val="0"/>
        <w:adjustRightInd/>
        <w:spacing w:line="600" w:lineRule="exact"/>
        <w:ind w:firstLine="600"/>
        <w:textAlignment w:val="auto"/>
        <w:rPr>
          <w:rFonts w:hint="default" w:ascii="Times New Roman" w:hAnsi="Times New Roman" w:eastAsia="仿宋_GB2312" w:cs="Times New Roman"/>
          <w:sz w:val="32"/>
          <w:szCs w:val="32"/>
        </w:rPr>
      </w:pPr>
    </w:p>
    <w:p w14:paraId="28979BB6">
      <w:pPr>
        <w:keepNext w:val="0"/>
        <w:keepLines w:val="0"/>
        <w:pageBreakBefore w:val="0"/>
        <w:widowControl w:val="0"/>
        <w:kinsoku/>
        <w:wordWrap/>
        <w:overflowPunct/>
        <w:topLinePunct w:val="0"/>
        <w:autoSpaceDE/>
        <w:autoSpaceDN/>
        <w:bidi w:val="0"/>
        <w:adjustRightInd/>
        <w:spacing w:line="600" w:lineRule="exact"/>
        <w:ind w:firstLine="600"/>
        <w:textAlignment w:val="auto"/>
        <w:rPr>
          <w:rFonts w:hint="default" w:ascii="Times New Roman" w:hAnsi="Times New Roman" w:eastAsia="仿宋_GB2312" w:cs="Times New Roman"/>
          <w:sz w:val="32"/>
          <w:szCs w:val="32"/>
        </w:rPr>
      </w:pPr>
    </w:p>
    <w:p w14:paraId="5E5DEDE8">
      <w:pPr>
        <w:keepNext w:val="0"/>
        <w:keepLines w:val="0"/>
        <w:pageBreakBefore w:val="0"/>
        <w:widowControl w:val="0"/>
        <w:kinsoku/>
        <w:wordWrap/>
        <w:overflowPunct/>
        <w:topLinePunct w:val="0"/>
        <w:autoSpaceDE/>
        <w:autoSpaceDN/>
        <w:bidi w:val="0"/>
        <w:adjustRightInd/>
        <w:spacing w:line="600" w:lineRule="exact"/>
        <w:ind w:firstLine="600"/>
        <w:textAlignment w:val="auto"/>
        <w:rPr>
          <w:rFonts w:hint="default" w:ascii="Times New Roman" w:hAnsi="Times New Roman" w:eastAsia="仿宋_GB2312" w:cs="Times New Roman"/>
          <w:sz w:val="32"/>
          <w:szCs w:val="32"/>
        </w:rPr>
      </w:pPr>
    </w:p>
    <w:p w14:paraId="3E3D5C1C">
      <w:pPr>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仿宋_GB2312" w:cs="Times New Roman"/>
          <w:sz w:val="32"/>
          <w:szCs w:val="32"/>
        </w:rPr>
      </w:pPr>
    </w:p>
    <w:p w14:paraId="73FBC867">
      <w:pPr>
        <w:widowControl/>
        <w:overflowPunct w:val="0"/>
        <w:jc w:val="left"/>
        <w:rPr>
          <w:rFonts w:hint="default" w:ascii="Times New Roman" w:hAnsi="Times New Roman" w:eastAsia="楷体_GB2312" w:cs="Times New Roman"/>
          <w:b/>
          <w:kern w:val="2"/>
          <w:sz w:val="32"/>
          <w:szCs w:val="24"/>
          <w:lang w:val="en-US" w:eastAsia="zh-CN" w:bidi="ar-SA"/>
        </w:rPr>
      </w:pPr>
      <w:r>
        <w:rPr>
          <w:rFonts w:hint="default" w:ascii="Times New Roman" w:hAnsi="Times New Roman" w:eastAsia="黑体" w:cs="Times New Roman"/>
          <w:sz w:val="32"/>
          <w:szCs w:val="32"/>
        </w:rPr>
        <w:t>附表</w:t>
      </w:r>
    </w:p>
    <w:p w14:paraId="13D691AC">
      <w:pPr>
        <w:overflowPunct w:val="0"/>
        <w:spacing w:line="600" w:lineRule="exact"/>
        <w:jc w:val="center"/>
        <w:rPr>
          <w:rFonts w:hint="eastAsia" w:ascii="方正小标宋_GBK" w:hAnsi="方正小标宋_GBK" w:eastAsia="方正小标宋_GBK" w:cs="方正小标宋_GBK"/>
          <w:bCs/>
          <w:sz w:val="40"/>
          <w:szCs w:val="40"/>
          <w:highlight w:val="none"/>
          <w:lang w:val="en-US" w:eastAsia="zh-CN"/>
        </w:rPr>
      </w:pPr>
      <w:r>
        <w:rPr>
          <w:rFonts w:hint="eastAsia" w:ascii="方正小标宋_GBK" w:hAnsi="方正小标宋_GBK" w:eastAsia="方正小标宋_GBK" w:cs="方正小标宋_GBK"/>
          <w:bCs/>
          <w:sz w:val="40"/>
          <w:szCs w:val="40"/>
          <w:highlight w:val="none"/>
          <w:lang w:val="en-US" w:eastAsia="zh-CN"/>
        </w:rPr>
        <w:t>普通高等学校播音与主持类本科招生专业与省级</w:t>
      </w:r>
    </w:p>
    <w:p w14:paraId="14479E6B">
      <w:pPr>
        <w:overflowPunct w:val="0"/>
        <w:spacing w:line="600" w:lineRule="exact"/>
        <w:jc w:val="center"/>
        <w:rPr>
          <w:rFonts w:hint="eastAsia" w:ascii="方正小标宋_GBK" w:hAnsi="方正小标宋_GBK" w:eastAsia="方正小标宋_GBK" w:cs="方正小标宋_GBK"/>
          <w:bCs/>
          <w:sz w:val="40"/>
          <w:szCs w:val="40"/>
          <w:highlight w:val="none"/>
          <w:lang w:val="en-US" w:eastAsia="zh-CN"/>
        </w:rPr>
      </w:pPr>
      <w:r>
        <w:rPr>
          <w:rFonts w:hint="eastAsia" w:ascii="方正小标宋_GBK" w:hAnsi="方正小标宋_GBK" w:eastAsia="方正小标宋_GBK" w:cs="方正小标宋_GBK"/>
          <w:bCs/>
          <w:sz w:val="40"/>
          <w:szCs w:val="40"/>
          <w:highlight w:val="none"/>
          <w:lang w:val="en-US" w:eastAsia="zh-CN"/>
        </w:rPr>
        <w:t>统考科类对应关系一览表</w:t>
      </w:r>
    </w:p>
    <w:p w14:paraId="7FBF1FA9">
      <w:pPr>
        <w:overflowPunct w:val="0"/>
        <w:rPr>
          <w:rFonts w:hint="default" w:ascii="Times New Roman" w:hAnsi="Times New Roman" w:eastAsia="宋体" w:cs="Times New Roman"/>
        </w:rPr>
      </w:pPr>
    </w:p>
    <w:p w14:paraId="5B89BD15">
      <w:pPr>
        <w:overflowPunct w:val="0"/>
        <w:rPr>
          <w:rFonts w:hint="default" w:ascii="Times New Roman" w:hAnsi="Times New Roman" w:eastAsia="宋体" w:cs="Times New Roman"/>
        </w:rPr>
      </w:pPr>
    </w:p>
    <w:tbl>
      <w:tblPr>
        <w:tblStyle w:val="16"/>
        <w:tblW w:w="92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59"/>
        <w:gridCol w:w="1513"/>
        <w:gridCol w:w="1892"/>
        <w:gridCol w:w="3722"/>
      </w:tblGrid>
      <w:tr w14:paraId="2378A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2159" w:type="dxa"/>
            <w:vMerge w:val="restart"/>
            <w:tcBorders>
              <w:top w:val="single" w:color="auto" w:sz="4" w:space="0"/>
              <w:left w:val="single" w:color="auto" w:sz="4" w:space="0"/>
              <w:bottom w:val="single" w:color="auto" w:sz="4" w:space="0"/>
              <w:right w:val="single" w:color="auto" w:sz="4" w:space="0"/>
            </w:tcBorders>
            <w:noWrap w:val="0"/>
            <w:vAlign w:val="center"/>
          </w:tcPr>
          <w:p w14:paraId="496DF247">
            <w:pPr>
              <w:overflowPunct w:val="0"/>
              <w:spacing w:before="68" w:line="219" w:lineRule="auto"/>
              <w:jc w:val="center"/>
              <w:rPr>
                <w:rFonts w:hint="default" w:ascii="Times New Roman" w:hAnsi="Times New Roman" w:eastAsia="仿宋" w:cs="Times New Roman"/>
                <w:b/>
                <w:bCs/>
                <w:kern w:val="0"/>
                <w:sz w:val="24"/>
              </w:rPr>
            </w:pPr>
            <w:r>
              <w:rPr>
                <w:rFonts w:hint="default" w:ascii="Times New Roman" w:hAnsi="Times New Roman" w:eastAsia="仿宋" w:cs="Times New Roman"/>
                <w:b/>
                <w:bCs/>
                <w:spacing w:val="2"/>
                <w:kern w:val="0"/>
                <w:sz w:val="24"/>
              </w:rPr>
              <w:t>统考科类</w:t>
            </w:r>
          </w:p>
        </w:tc>
        <w:tc>
          <w:tcPr>
            <w:tcW w:w="3405" w:type="dxa"/>
            <w:gridSpan w:val="2"/>
            <w:tcBorders>
              <w:left w:val="single" w:color="auto" w:sz="4" w:space="0"/>
            </w:tcBorders>
            <w:noWrap w:val="0"/>
            <w:vAlign w:val="center"/>
          </w:tcPr>
          <w:p w14:paraId="15D48847">
            <w:pPr>
              <w:overflowPunct w:val="0"/>
              <w:spacing w:before="134" w:line="220" w:lineRule="auto"/>
              <w:jc w:val="center"/>
              <w:rPr>
                <w:rFonts w:hint="default" w:ascii="Times New Roman" w:hAnsi="Times New Roman" w:eastAsia="仿宋" w:cs="Times New Roman"/>
                <w:b/>
                <w:bCs/>
                <w:kern w:val="0"/>
                <w:sz w:val="24"/>
              </w:rPr>
            </w:pPr>
            <w:r>
              <w:rPr>
                <w:rFonts w:hint="default" w:ascii="Times New Roman" w:hAnsi="Times New Roman" w:eastAsia="仿宋" w:cs="Times New Roman"/>
                <w:b/>
                <w:bCs/>
                <w:spacing w:val="-2"/>
                <w:kern w:val="0"/>
                <w:sz w:val="24"/>
              </w:rPr>
              <w:t>对应招生专业</w:t>
            </w:r>
          </w:p>
        </w:tc>
        <w:tc>
          <w:tcPr>
            <w:tcW w:w="3722" w:type="dxa"/>
            <w:vMerge w:val="restart"/>
            <w:noWrap w:val="0"/>
            <w:vAlign w:val="center"/>
          </w:tcPr>
          <w:p w14:paraId="6EA13F17">
            <w:pPr>
              <w:overflowPunct w:val="0"/>
              <w:spacing w:before="134" w:line="220" w:lineRule="auto"/>
              <w:jc w:val="center"/>
              <w:rPr>
                <w:rFonts w:hint="default" w:ascii="Times New Roman" w:hAnsi="Times New Roman" w:eastAsia="仿宋" w:cs="Times New Roman"/>
                <w:b/>
                <w:bCs/>
                <w:spacing w:val="-2"/>
                <w:kern w:val="0"/>
                <w:sz w:val="24"/>
              </w:rPr>
            </w:pPr>
            <w:r>
              <w:rPr>
                <w:rFonts w:hint="default" w:ascii="Times New Roman" w:hAnsi="Times New Roman" w:eastAsia="仿宋" w:cs="Times New Roman"/>
                <w:b/>
                <w:bCs/>
                <w:spacing w:val="-4"/>
                <w:kern w:val="0"/>
                <w:sz w:val="24"/>
              </w:rPr>
              <w:t>统考科目和代码</w:t>
            </w:r>
          </w:p>
        </w:tc>
      </w:tr>
      <w:tr w14:paraId="2D7C3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2159" w:type="dxa"/>
            <w:vMerge w:val="continue"/>
            <w:tcBorders>
              <w:top w:val="single" w:color="auto" w:sz="4" w:space="0"/>
              <w:left w:val="single" w:color="auto" w:sz="4" w:space="0"/>
              <w:bottom w:val="single" w:color="auto" w:sz="4" w:space="0"/>
              <w:right w:val="single" w:color="auto" w:sz="4" w:space="0"/>
            </w:tcBorders>
            <w:noWrap w:val="0"/>
            <w:vAlign w:val="center"/>
          </w:tcPr>
          <w:p w14:paraId="4F43E25E">
            <w:pPr>
              <w:overflowPunct w:val="0"/>
              <w:jc w:val="center"/>
              <w:rPr>
                <w:rFonts w:hint="default" w:ascii="Times New Roman" w:hAnsi="Times New Roman" w:eastAsia="仿宋" w:cs="Times New Roman"/>
                <w:kern w:val="0"/>
                <w:sz w:val="24"/>
              </w:rPr>
            </w:pPr>
          </w:p>
        </w:tc>
        <w:tc>
          <w:tcPr>
            <w:tcW w:w="1513" w:type="dxa"/>
            <w:tcBorders>
              <w:left w:val="single" w:color="auto" w:sz="4" w:space="0"/>
            </w:tcBorders>
            <w:noWrap w:val="0"/>
            <w:vAlign w:val="center"/>
          </w:tcPr>
          <w:p w14:paraId="50D205C2">
            <w:pPr>
              <w:overflowPunct w:val="0"/>
              <w:spacing w:before="128" w:line="219" w:lineRule="auto"/>
              <w:ind w:left="132"/>
              <w:jc w:val="center"/>
              <w:rPr>
                <w:rFonts w:hint="default" w:ascii="Times New Roman" w:hAnsi="Times New Roman" w:eastAsia="仿宋" w:cs="Times New Roman"/>
                <w:b/>
                <w:kern w:val="0"/>
                <w:sz w:val="24"/>
              </w:rPr>
            </w:pPr>
            <w:r>
              <w:rPr>
                <w:rFonts w:hint="default" w:ascii="Times New Roman" w:hAnsi="Times New Roman" w:eastAsia="仿宋" w:cs="Times New Roman"/>
                <w:b/>
                <w:spacing w:val="-2"/>
                <w:kern w:val="0"/>
                <w:sz w:val="24"/>
              </w:rPr>
              <w:t>专业代码</w:t>
            </w:r>
          </w:p>
        </w:tc>
        <w:tc>
          <w:tcPr>
            <w:tcW w:w="1892" w:type="dxa"/>
            <w:noWrap w:val="0"/>
            <w:vAlign w:val="center"/>
          </w:tcPr>
          <w:p w14:paraId="7F1719DD">
            <w:pPr>
              <w:overflowPunct w:val="0"/>
              <w:spacing w:before="129" w:line="220" w:lineRule="auto"/>
              <w:ind w:firstLine="237" w:firstLineChars="100"/>
              <w:jc w:val="center"/>
              <w:rPr>
                <w:rFonts w:hint="default" w:ascii="Times New Roman" w:hAnsi="Times New Roman" w:eastAsia="仿宋" w:cs="Times New Roman"/>
                <w:b/>
                <w:kern w:val="0"/>
                <w:sz w:val="24"/>
              </w:rPr>
            </w:pPr>
            <w:r>
              <w:rPr>
                <w:rFonts w:hint="default" w:ascii="Times New Roman" w:hAnsi="Times New Roman" w:eastAsia="仿宋" w:cs="Times New Roman"/>
                <w:b/>
                <w:spacing w:val="-2"/>
                <w:kern w:val="0"/>
                <w:sz w:val="24"/>
              </w:rPr>
              <w:t>专业名称</w:t>
            </w:r>
          </w:p>
        </w:tc>
        <w:tc>
          <w:tcPr>
            <w:tcW w:w="3722" w:type="dxa"/>
            <w:vMerge w:val="continue"/>
            <w:noWrap w:val="0"/>
            <w:vAlign w:val="center"/>
          </w:tcPr>
          <w:p w14:paraId="737073E6">
            <w:pPr>
              <w:overflowPunct w:val="0"/>
              <w:spacing w:before="129" w:line="220" w:lineRule="auto"/>
              <w:ind w:left="793"/>
              <w:jc w:val="center"/>
              <w:rPr>
                <w:rFonts w:hint="default" w:ascii="Times New Roman" w:hAnsi="Times New Roman" w:eastAsia="仿宋" w:cs="Times New Roman"/>
                <w:spacing w:val="-2"/>
                <w:kern w:val="0"/>
                <w:sz w:val="24"/>
              </w:rPr>
            </w:pPr>
          </w:p>
        </w:tc>
      </w:tr>
      <w:tr w14:paraId="4FEC8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2159" w:type="dxa"/>
            <w:tcBorders>
              <w:top w:val="single" w:color="auto" w:sz="4" w:space="0"/>
              <w:left w:val="single" w:color="auto" w:sz="4" w:space="0"/>
              <w:bottom w:val="single" w:color="auto" w:sz="4" w:space="0"/>
              <w:right w:val="single" w:color="auto" w:sz="4" w:space="0"/>
            </w:tcBorders>
            <w:noWrap w:val="0"/>
            <w:vAlign w:val="center"/>
          </w:tcPr>
          <w:p w14:paraId="451B5FBD">
            <w:pPr>
              <w:overflowPunct w:val="0"/>
              <w:jc w:val="center"/>
              <w:rPr>
                <w:rFonts w:hint="default" w:ascii="Times New Roman" w:hAnsi="Times New Roman" w:eastAsia="仿宋" w:cs="Times New Roman"/>
                <w:kern w:val="0"/>
                <w:sz w:val="24"/>
              </w:rPr>
            </w:pPr>
            <w:r>
              <w:rPr>
                <w:rFonts w:hint="default" w:ascii="Times New Roman" w:hAnsi="Times New Roman" w:eastAsia="仿宋" w:cs="Times New Roman"/>
                <w:spacing w:val="-2"/>
                <w:kern w:val="0"/>
                <w:sz w:val="24"/>
              </w:rPr>
              <w:t>播音与主持类</w:t>
            </w:r>
          </w:p>
        </w:tc>
        <w:tc>
          <w:tcPr>
            <w:tcW w:w="1513" w:type="dxa"/>
            <w:tcBorders>
              <w:left w:val="single" w:color="auto" w:sz="4" w:space="0"/>
            </w:tcBorders>
            <w:noWrap w:val="0"/>
            <w:vAlign w:val="center"/>
          </w:tcPr>
          <w:p w14:paraId="2582EC6F">
            <w:pPr>
              <w:overflowPunct w:val="0"/>
              <w:ind w:firstLine="232" w:firstLineChars="100"/>
              <w:jc w:val="center"/>
              <w:rPr>
                <w:rFonts w:hint="default" w:ascii="Times New Roman" w:hAnsi="Times New Roman" w:eastAsia="仿宋" w:cs="Times New Roman"/>
                <w:kern w:val="0"/>
                <w:sz w:val="24"/>
              </w:rPr>
            </w:pPr>
            <w:r>
              <w:rPr>
                <w:rFonts w:hint="default" w:ascii="Times New Roman" w:hAnsi="Times New Roman" w:eastAsia="仿宋" w:cs="Times New Roman"/>
                <w:spacing w:val="-4"/>
                <w:kern w:val="0"/>
                <w:sz w:val="24"/>
              </w:rPr>
              <w:t>130309</w:t>
            </w:r>
          </w:p>
        </w:tc>
        <w:tc>
          <w:tcPr>
            <w:tcW w:w="1892" w:type="dxa"/>
            <w:noWrap w:val="0"/>
            <w:vAlign w:val="center"/>
          </w:tcPr>
          <w:p w14:paraId="5DE650E1">
            <w:pPr>
              <w:overflowPunct w:val="0"/>
              <w:jc w:val="center"/>
              <w:rPr>
                <w:rFonts w:hint="default" w:ascii="Times New Roman" w:hAnsi="Times New Roman" w:eastAsia="仿宋" w:cs="Times New Roman"/>
                <w:kern w:val="0"/>
                <w:sz w:val="24"/>
              </w:rPr>
            </w:pPr>
            <w:r>
              <w:rPr>
                <w:rFonts w:hint="default" w:ascii="Times New Roman" w:hAnsi="Times New Roman" w:eastAsia="仿宋" w:cs="Times New Roman"/>
                <w:spacing w:val="-2"/>
                <w:kern w:val="0"/>
                <w:sz w:val="24"/>
              </w:rPr>
              <w:t>播音与主持艺术</w:t>
            </w:r>
          </w:p>
        </w:tc>
        <w:tc>
          <w:tcPr>
            <w:tcW w:w="3722" w:type="dxa"/>
            <w:noWrap w:val="0"/>
            <w:vAlign w:val="center"/>
          </w:tcPr>
          <w:p w14:paraId="72120DE2">
            <w:pPr>
              <w:numPr>
                <w:ilvl w:val="0"/>
                <w:numId w:val="0"/>
              </w:numPr>
              <w:overflowPunct w:val="0"/>
              <w:ind w:firstLine="29" w:firstLineChars="0"/>
              <w:jc w:val="center"/>
              <w:rPr>
                <w:rFonts w:hint="default" w:ascii="Times New Roman" w:hAnsi="Times New Roman" w:eastAsia="仿宋" w:cs="Times New Roman"/>
                <w:spacing w:val="5"/>
                <w:kern w:val="0"/>
                <w:sz w:val="24"/>
              </w:rPr>
            </w:pPr>
            <w:r>
              <w:rPr>
                <w:rFonts w:hint="default" w:ascii="Times New Roman" w:hAnsi="Times New Roman" w:eastAsia="仿宋" w:cs="Times New Roman"/>
                <w:spacing w:val="5"/>
                <w:kern w:val="0"/>
                <w:sz w:val="24"/>
                <w:szCs w:val="24"/>
                <w:lang w:val="en-US" w:eastAsia="zh-CN" w:bidi="ar-SA"/>
              </w:rPr>
              <w:t>401</w:t>
            </w:r>
            <w:r>
              <w:rPr>
                <w:rFonts w:hint="default" w:ascii="Times New Roman" w:hAnsi="Times New Roman" w:eastAsia="仿宋_GB2312" w:cs="Times New Roman"/>
                <w:spacing w:val="3"/>
                <w:kern w:val="0"/>
                <w:sz w:val="24"/>
                <w:lang w:eastAsia="zh-CN"/>
              </w:rPr>
              <w:t>－</w:t>
            </w:r>
            <w:r>
              <w:rPr>
                <w:rFonts w:hint="default" w:ascii="Times New Roman" w:hAnsi="Times New Roman" w:eastAsia="仿宋" w:cs="Times New Roman"/>
                <w:spacing w:val="5"/>
                <w:kern w:val="0"/>
                <w:sz w:val="24"/>
              </w:rPr>
              <w:t>作品朗读，402</w:t>
            </w:r>
            <w:r>
              <w:rPr>
                <w:rFonts w:hint="default" w:ascii="Times New Roman" w:hAnsi="Times New Roman" w:eastAsia="仿宋" w:cs="Times New Roman"/>
                <w:spacing w:val="5"/>
                <w:kern w:val="0"/>
                <w:sz w:val="24"/>
                <w:lang w:eastAsia="zh-CN"/>
              </w:rPr>
              <w:t>－</w:t>
            </w:r>
            <w:r>
              <w:rPr>
                <w:rFonts w:hint="default" w:ascii="Times New Roman" w:hAnsi="Times New Roman" w:eastAsia="仿宋" w:cs="Times New Roman"/>
                <w:spacing w:val="5"/>
                <w:kern w:val="0"/>
                <w:sz w:val="24"/>
              </w:rPr>
              <w:t>新闻播报，</w:t>
            </w:r>
          </w:p>
          <w:p w14:paraId="12B6A6CB">
            <w:pPr>
              <w:numPr>
                <w:ilvl w:val="0"/>
                <w:numId w:val="0"/>
              </w:numPr>
              <w:overflowPunct w:val="0"/>
              <w:jc w:val="center"/>
              <w:rPr>
                <w:rFonts w:hint="default" w:ascii="Times New Roman" w:hAnsi="Times New Roman" w:eastAsia="仿宋" w:cs="Times New Roman"/>
                <w:kern w:val="0"/>
                <w:sz w:val="24"/>
              </w:rPr>
            </w:pPr>
            <w:r>
              <w:rPr>
                <w:rFonts w:hint="default" w:ascii="Times New Roman" w:hAnsi="Times New Roman" w:eastAsia="仿宋" w:cs="Times New Roman"/>
                <w:spacing w:val="5"/>
                <w:kern w:val="0"/>
                <w:sz w:val="24"/>
              </w:rPr>
              <w:t>403</w:t>
            </w:r>
            <w:r>
              <w:rPr>
                <w:rFonts w:hint="default" w:ascii="Times New Roman" w:hAnsi="Times New Roman" w:eastAsia="仿宋" w:cs="Times New Roman"/>
                <w:spacing w:val="5"/>
                <w:kern w:val="0"/>
                <w:sz w:val="24"/>
                <w:lang w:eastAsia="zh-CN"/>
              </w:rPr>
              <w:t>－</w:t>
            </w:r>
            <w:r>
              <w:rPr>
                <w:rFonts w:hint="default" w:ascii="Times New Roman" w:hAnsi="Times New Roman" w:eastAsia="仿宋" w:cs="Times New Roman"/>
                <w:spacing w:val="5"/>
                <w:kern w:val="0"/>
                <w:sz w:val="24"/>
              </w:rPr>
              <w:t>话题评述</w:t>
            </w:r>
          </w:p>
        </w:tc>
      </w:tr>
    </w:tbl>
    <w:p w14:paraId="1007AB61">
      <w:pPr>
        <w:rPr>
          <w:rFonts w:hint="eastAsia"/>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Glyphicons Halflings">
    <w:altName w:val="FFont-Family"/>
    <w:panose1 w:val="00000000000000000000"/>
    <w:charset w:val="00"/>
    <w:family w:val="auto"/>
    <w:pitch w:val="default"/>
    <w:sig w:usb0="00000000" w:usb1="00000000" w:usb2="00000000" w:usb3="00000000" w:csb0="00000000" w:csb1="00000000"/>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auto"/>
    <w:pitch w:val="default"/>
    <w:sig w:usb0="E00002FF" w:usb1="6AC7FDFB" w:usb2="08000012" w:usb3="00000000" w:csb0="4002009F" w:csb1="DFD7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920E94"/>
    <w:rsid w:val="43920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bdr w:val="none" w:color="auto" w:sz="0" w:space="0"/>
    </w:rPr>
  </w:style>
  <w:style w:type="character" w:styleId="6">
    <w:name w:val="FollowedHyperlink"/>
    <w:basedOn w:val="4"/>
    <w:uiPriority w:val="0"/>
    <w:rPr>
      <w:color w:val="000000"/>
      <w:u w:val="none"/>
      <w:bdr w:val="none" w:color="auto" w:sz="0" w:space="0"/>
    </w:rPr>
  </w:style>
  <w:style w:type="character" w:styleId="7">
    <w:name w:val="Emphasis"/>
    <w:basedOn w:val="4"/>
    <w:qFormat/>
    <w:uiPriority w:val="0"/>
    <w:rPr>
      <w:i/>
      <w:bdr w:val="none" w:color="auto" w:sz="0" w:space="0"/>
    </w:rPr>
  </w:style>
  <w:style w:type="character" w:styleId="8">
    <w:name w:val="HTML Definition"/>
    <w:basedOn w:val="4"/>
    <w:uiPriority w:val="0"/>
    <w:rPr>
      <w:i/>
      <w:iCs/>
    </w:rPr>
  </w:style>
  <w:style w:type="character" w:styleId="9">
    <w:name w:val="HTML Variable"/>
    <w:basedOn w:val="4"/>
    <w:uiPriority w:val="0"/>
    <w:rPr>
      <w:i/>
      <w:bdr w:val="none" w:color="auto" w:sz="0" w:space="0"/>
    </w:rPr>
  </w:style>
  <w:style w:type="character" w:styleId="10">
    <w:name w:val="Hyperlink"/>
    <w:basedOn w:val="4"/>
    <w:uiPriority w:val="0"/>
    <w:rPr>
      <w:color w:val="000000"/>
      <w:u w:val="none"/>
      <w:bdr w:val="none" w:color="auto" w:sz="0" w:space="0"/>
    </w:rPr>
  </w:style>
  <w:style w:type="character" w:styleId="11">
    <w:name w:val="HTML Code"/>
    <w:basedOn w:val="4"/>
    <w:uiPriority w:val="0"/>
    <w:rPr>
      <w:rFonts w:hint="default" w:ascii="monospace" w:hAnsi="monospace" w:eastAsia="monospace" w:cs="monospace"/>
      <w:color w:val="C7254E"/>
      <w:sz w:val="21"/>
      <w:szCs w:val="21"/>
      <w:bdr w:val="none" w:color="auto" w:sz="0" w:space="0"/>
      <w:shd w:val="clear" w:fill="F9F2F4"/>
    </w:rPr>
  </w:style>
  <w:style w:type="character" w:styleId="12">
    <w:name w:val="HTML Keyboard"/>
    <w:basedOn w:val="4"/>
    <w:uiPriority w:val="0"/>
    <w:rPr>
      <w:rFonts w:ascii="monospace" w:hAnsi="monospace" w:eastAsia="monospace" w:cs="monospace"/>
      <w:color w:val="FFFFFF"/>
      <w:sz w:val="21"/>
      <w:szCs w:val="21"/>
      <w:bdr w:val="none" w:color="auto" w:sz="0" w:space="0"/>
      <w:shd w:val="clear" w:fill="333333"/>
    </w:rPr>
  </w:style>
  <w:style w:type="character" w:styleId="13">
    <w:name w:val="HTML Sample"/>
    <w:basedOn w:val="4"/>
    <w:uiPriority w:val="0"/>
    <w:rPr>
      <w:rFonts w:hint="default" w:ascii="monospace" w:hAnsi="monospace" w:eastAsia="monospace" w:cs="monospace"/>
      <w:sz w:val="21"/>
      <w:szCs w:val="21"/>
    </w:rPr>
  </w:style>
  <w:style w:type="character" w:customStyle="1" w:styleId="14">
    <w:name w:val="nth-child(3)"/>
    <w:basedOn w:val="4"/>
    <w:uiPriority w:val="0"/>
    <w:rPr>
      <w:b/>
      <w:bCs/>
    </w:rPr>
  </w:style>
  <w:style w:type="character" w:customStyle="1" w:styleId="15">
    <w:name w:val="nth-child(2)"/>
    <w:basedOn w:val="4"/>
    <w:uiPriority w:val="0"/>
    <w:rPr>
      <w:b/>
      <w:bCs/>
    </w:rPr>
  </w:style>
  <w:style w:type="table" w:customStyle="1" w:styleId="1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2026-10-15T01:11:00Z</dcterms:created>
  <dc:creator>WPS_1675735716</dc:creator>
  <cp:lastModifiedBy>WPS_1675735716</cp:lastModifiedBy>
  <dcterms:modified xsi:type="dcterms:W3CDTF">2026-10-15T07:19:27Z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1ADED8D688B84AE3823D0F04AB94F7E3_11</vt:lpwstr>
  </property>
  <property fmtid="{D5CDD505-2E9C-101B-9397-08002B2CF9AE}" pid="4" name="KSOTemplateDocerSaveRecord">
    <vt:lpwstr>eyJoZGlkIjoiZjIwOTFlYzVhN2RjOWQyMDZkYzQ1Y2M4MDk0YzhhNDAiLCJ1c2VySWQiOiIxNDcxODc4NzA5In0=</vt:lpwstr>
  </property>
</Properties>
</file>